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027D6" w14:textId="5DCEF0BA" w:rsidR="00E549D8" w:rsidRPr="006A7103" w:rsidRDefault="00E549D8" w:rsidP="006A7103">
      <w:pPr>
        <w:pStyle w:val="Title"/>
        <w:jc w:val="center"/>
        <w:rPr>
          <w:sz w:val="32"/>
          <w:szCs w:val="32"/>
        </w:rPr>
      </w:pPr>
      <w:r w:rsidRPr="006A7103">
        <w:rPr>
          <w:sz w:val="32"/>
          <w:szCs w:val="32"/>
        </w:rPr>
        <w:t>CRED REEF FISH DATA – OVERVIEW OF DATA GATHERING</w:t>
      </w:r>
    </w:p>
    <w:p w14:paraId="1132A930" w14:textId="340BB784" w:rsidR="007A2B6B" w:rsidRPr="00E549D8" w:rsidRDefault="007C2B87" w:rsidP="00C57890">
      <w:pPr>
        <w:pStyle w:val="Heading2"/>
      </w:pPr>
      <w:r>
        <w:t xml:space="preserve">Pacific Reef Assessment and Monitoring Program (RAMP) </w:t>
      </w:r>
    </w:p>
    <w:p w14:paraId="2A089656" w14:textId="63A12114" w:rsidR="007C2B87" w:rsidRDefault="007C2B87" w:rsidP="00BC446D">
      <w:pPr>
        <w:jc w:val="both"/>
      </w:pPr>
      <w:r>
        <w:t xml:space="preserve">NOAA </w:t>
      </w:r>
      <w:r w:rsidR="00E549D8">
        <w:t>C</w:t>
      </w:r>
      <w:r>
        <w:t>oral Reef Ecosystems Division (C</w:t>
      </w:r>
      <w:r w:rsidR="00E549D8">
        <w:t>RED</w:t>
      </w:r>
      <w:r>
        <w:t>) surveys</w:t>
      </w:r>
      <w:r w:rsidR="00E549D8">
        <w:t xml:space="preserve"> coral reef</w:t>
      </w:r>
      <w:r>
        <w:t>s</w:t>
      </w:r>
      <w:r w:rsidR="00E549D8">
        <w:t xml:space="preserve"> at a total of ~40 </w:t>
      </w:r>
      <w:r>
        <w:t xml:space="preserve">islands and atolls </w:t>
      </w:r>
      <w:r w:rsidR="00E549D8">
        <w:t xml:space="preserve">in US and US-affiliated regions in the Pacific </w:t>
      </w:r>
      <w:r>
        <w:t>using consistent methods and survey design. Th</w:t>
      </w:r>
      <w:r w:rsidR="008E19FD">
        <w:t xml:space="preserve">e program, </w:t>
      </w:r>
      <w:r>
        <w:t xml:space="preserve">known as </w:t>
      </w:r>
      <w:r w:rsidR="008E19FD">
        <w:t xml:space="preserve">Pacific RAMP, </w:t>
      </w:r>
      <w:r w:rsidR="007D3872">
        <w:t xml:space="preserve">is part of NOAA’s national coral reef monitoring program </w:t>
      </w:r>
      <w:r w:rsidR="00B01FAD">
        <w:t xml:space="preserve">(NCRMP) </w:t>
      </w:r>
      <w:r w:rsidR="007D3872">
        <w:fldChar w:fldCharType="begin" w:fldLock="1"/>
      </w:r>
      <w:r w:rsidR="00DC7DEF">
        <w:instrText>ADDIN CSL_CITATION { "citationItems" : [ { "id" : "ITEM-1", "itemData" : { "author" : [ { "dropping-particle" : "", "family" : "Brainard", "given" : "Rusty", "non-dropping-particle" : "", "parse-names" : false, "suffix" : "" }, { "dropping-particle" : "", "family" : "Caldow", "given" : "Chris", "non-dropping-particle" : "", "parse-names" : false, "suffix" : "" }, { "dropping-particle" : "", "family" : "Eakin", "given" : "Mark", "non-dropping-particle" : "", "parse-names" : false, "suffix" : "" }, { "dropping-particle" : "", "family" : "Gittings", "given" : "Steve", "non-dropping-particle" : "", "parse-names" : false, "suffix" : "" }, { "dropping-particle" : "", "family" : "Gledhill", "given" : "Dwight", "non-dropping-particle" : "", "parse-names" : false, "suffix" : "" }, { "dropping-particle" : "", "family" : "Hill", "given" : "Ron", "non-dropping-particle" : "", "parse-names" : false, "suffix" : "" }, { "dropping-particle" : "", "family" : "Jeffrey", "given" : "Chris", "non-dropping-particle" : "", "parse-names" : false, "suffix" : "" }, { "dropping-particle" : "", "family" : "Karazsia", "given" : "Jocelyn", "non-dropping-particle" : "", "parse-names" : false, "suffix" : "" }, { "dropping-particle" : "", "family" : "Kosaki", "given" : "Randy", "non-dropping-particle" : "", "parse-names" : false, "suffix" : "" }, { "dropping-particle" : "", "family" : "Loper", "given" : "Christy", "non-dropping-particle" : "", "parse-names" : false, "suffix" : "" }, { "dropping-particle" : "", "family" : "Manzello", "given" : "Derek", "non-dropping-particle" : "", "parse-names" : false, "suffix" : "" }, { "dropping-particle" : "", "family" : "Miller", "given" : "Margaret", "non-dropping-particle" : "", "parse-names" : false, "suffix" : "" }, { "dropping-particle" : "", "family" : "Piniak", "given" : "Greg", "non-dropping-particle" : "", "parse-names" : false, "suffix" : "" }, { "dropping-particle" : "", "family" : "Schroeder", "given" : "Bob", "non-dropping-particle" : "", "parse-names" : false, "suffix" : "" }, { "dropping-particle" : "", "family" : "Schull", "given" : "Jennifer", "non-dropping-particle" : "", "parse-names" : false, "suffix" : "" }, { "dropping-particle" : "", "family" : "Vargas\u2010Angel", "given" : "Bernardo", "non-dropping-particle" : "", "parse-names" : false, "suffix" : "" }, { "dropping-particle" : "", "family" : "Williams", "given" : "Ivor", "non-dropping-particle" : "", "parse-names" : false, "suffix" : "" } ], "id" : "ITEM-1", "issued" : { "date-parts" : [ [ "2014" ] ] }, "number-of-pages" : "40", "publisher-place" : "Silver Spring, MD", "title" : "NOAA Coral Reef Conservation Program. National Coral Reef Monitoring Program", "type" : "report" }, "uris" : [ "http://www.mendeley.com/documents/?uuid=b3069639-3b90-4581-9ae1-991a8dd6fe32" ] } ], "mendeley" : { "formattedCitation" : "(Brainard et al., 2014)", "plainTextFormattedCitation" : "(Brainard et al., 2014)", "previouslyFormattedCitation" : "(Brainard et al., 2014)" }, "properties" : { "noteIndex" : 0 }, "schema" : "https://github.com/citation-style-language/schema/raw/master/csl-citation.json" }</w:instrText>
      </w:r>
      <w:r w:rsidR="007D3872">
        <w:fldChar w:fldCharType="separate"/>
      </w:r>
      <w:r w:rsidR="007D3872" w:rsidRPr="007D3872">
        <w:rPr>
          <w:noProof/>
        </w:rPr>
        <w:t>(Brainard et al., 2014)</w:t>
      </w:r>
      <w:r w:rsidR="007D3872">
        <w:fldChar w:fldCharType="end"/>
      </w:r>
      <w:r w:rsidR="007D3872">
        <w:t>.</w:t>
      </w:r>
    </w:p>
    <w:p w14:paraId="03728EA8" w14:textId="77777777" w:rsidR="007C2B87" w:rsidRDefault="007C2B87" w:rsidP="00BC446D">
      <w:pPr>
        <w:jc w:val="both"/>
      </w:pPr>
      <w:bookmarkStart w:id="0" w:name="_GoBack"/>
      <w:bookmarkEnd w:id="0"/>
    </w:p>
    <w:p w14:paraId="566A8565" w14:textId="44EB66DE" w:rsidR="00E549D8" w:rsidRDefault="00E549D8" w:rsidP="00BC446D">
      <w:pPr>
        <w:jc w:val="both"/>
      </w:pPr>
      <w:r>
        <w:t xml:space="preserve">MARAMP, the Mariana Archipelago component of RAMP, began in 2003, and was initially conducted on a 2-year cycle, with a small team and relatively few surveys in each </w:t>
      </w:r>
      <w:r w:rsidR="007C2B87">
        <w:t>survey round</w:t>
      </w:r>
      <w:r>
        <w:t xml:space="preserve">. Beginning in 2009, the RAMP reef fish component was revamped, with the adoption of a stratified random sampling design within an explicit survey domain (&lt;30m hardbottom), increased survey replication, and </w:t>
      </w:r>
      <w:r w:rsidR="007C2B87">
        <w:t>implementation</w:t>
      </w:r>
      <w:r>
        <w:t xml:space="preserve"> of a new survey methodology. MARAMP surveys using this new approach were also conducted in 2011 and 2014. MARAMP is now on a 3-year cycle, </w:t>
      </w:r>
      <w:r w:rsidR="008E19FD">
        <w:t>with</w:t>
      </w:r>
      <w:r w:rsidR="007C2B87">
        <w:t xml:space="preserve"> </w:t>
      </w:r>
      <w:r>
        <w:t xml:space="preserve">the next survey cruise </w:t>
      </w:r>
      <w:r w:rsidR="008E19FD">
        <w:t>planned</w:t>
      </w:r>
      <w:r>
        <w:t xml:space="preserve"> for 2017.</w:t>
      </w:r>
    </w:p>
    <w:p w14:paraId="6734A857" w14:textId="47AC6202" w:rsidR="007A2B6B" w:rsidRPr="00723C1C" w:rsidRDefault="00E549D8" w:rsidP="00C57890">
      <w:pPr>
        <w:pStyle w:val="Heading2"/>
      </w:pPr>
      <w:bookmarkStart w:id="1" w:name="_Toc282368367"/>
      <w:r>
        <w:t xml:space="preserve">Reef Fish Surveys - </w:t>
      </w:r>
      <w:r w:rsidR="007A2B6B" w:rsidRPr="00723C1C">
        <w:t xml:space="preserve">Sampling </w:t>
      </w:r>
      <w:r>
        <w:t>D</w:t>
      </w:r>
      <w:r w:rsidR="007A2B6B" w:rsidRPr="00723C1C">
        <w:t>esign</w:t>
      </w:r>
      <w:bookmarkEnd w:id="1"/>
      <w:r w:rsidR="00AB3136">
        <w:t xml:space="preserve"> and Monitoring Domain</w:t>
      </w:r>
    </w:p>
    <w:p w14:paraId="0E49270D" w14:textId="37AD0F00" w:rsidR="007A2B6B" w:rsidRPr="00723C1C" w:rsidRDefault="00E549D8" w:rsidP="00BC446D">
      <w:pPr>
        <w:jc w:val="both"/>
      </w:pPr>
      <w:r>
        <w:t>CRED maintains GIS bathymetric and bottom composition map</w:t>
      </w:r>
      <w:r w:rsidR="000D418A">
        <w:t xml:space="preserve">s for each </w:t>
      </w:r>
      <w:r w:rsidR="008E19FD">
        <w:t>island</w:t>
      </w:r>
      <w:r>
        <w:t>. Th</w:t>
      </w:r>
      <w:r w:rsidR="000D418A">
        <w:t xml:space="preserve">e </w:t>
      </w:r>
      <w:r w:rsidR="008E19FD">
        <w:t xml:space="preserve">monitoring </w:t>
      </w:r>
      <w:r w:rsidR="000D418A">
        <w:t>target</w:t>
      </w:r>
      <w:r>
        <w:t xml:space="preserve"> habitat </w:t>
      </w:r>
      <w:r w:rsidR="008E19FD">
        <w:t xml:space="preserve">(&lt;30m hardbottom) </w:t>
      </w:r>
      <w:r>
        <w:t>is stratified by r</w:t>
      </w:r>
      <w:r w:rsidR="007A2B6B" w:rsidRPr="00723C1C">
        <w:t>eef zone (</w:t>
      </w:r>
      <w:proofErr w:type="spellStart"/>
      <w:r w:rsidR="007A2B6B" w:rsidRPr="00723C1C">
        <w:t>backreef</w:t>
      </w:r>
      <w:proofErr w:type="spellEnd"/>
      <w:r w:rsidR="007A2B6B" w:rsidRPr="00723C1C">
        <w:t xml:space="preserve">, forereef, lagoon) and depth </w:t>
      </w:r>
      <w:r>
        <w:t>bin</w:t>
      </w:r>
      <w:r w:rsidR="007A2B6B" w:rsidRPr="00723C1C">
        <w:t>: shallow (0–6 m), mid (6–18 m), and deep (18–30 m)</w:t>
      </w:r>
      <w:r>
        <w:t xml:space="preserve">. </w:t>
      </w:r>
      <w:r w:rsidR="008E19FD">
        <w:t>At</w:t>
      </w:r>
      <w:r>
        <w:t xml:space="preserve"> some larger islands, the </w:t>
      </w:r>
      <w:r w:rsidR="008E19FD">
        <w:t>island</w:t>
      </w:r>
      <w:r>
        <w:t xml:space="preserve"> </w:t>
      </w:r>
      <w:r w:rsidR="008E19FD">
        <w:t>i</w:t>
      </w:r>
      <w:r>
        <w:t xml:space="preserve">s further stratified by section of coastline or management status. For example, Guam reef areas are classified as being </w:t>
      </w:r>
      <w:r w:rsidR="007A2B6B" w:rsidRPr="00723C1C">
        <w:t xml:space="preserve">“Marine Preserve”; “Guam Open East; and “Guam </w:t>
      </w:r>
      <w:r w:rsidR="007A2B6B" w:rsidRPr="005B5602">
        <w:t>West”</w:t>
      </w:r>
      <w:r w:rsidR="000D418A">
        <w:t>.</w:t>
      </w:r>
      <w:r w:rsidR="007A2B6B" w:rsidRPr="005B5602">
        <w:t xml:space="preserve"> </w:t>
      </w:r>
    </w:p>
    <w:p w14:paraId="4449373B" w14:textId="77777777" w:rsidR="00E549D8" w:rsidRDefault="00E549D8" w:rsidP="00BC446D">
      <w:pPr>
        <w:jc w:val="both"/>
      </w:pPr>
    </w:p>
    <w:p w14:paraId="7A78A359" w14:textId="0387C462" w:rsidR="005436FF" w:rsidRDefault="000D418A" w:rsidP="00BC446D">
      <w:pPr>
        <w:jc w:val="both"/>
      </w:pPr>
      <w:r>
        <w:t>The locations of survey</w:t>
      </w:r>
      <w:r w:rsidR="005436FF">
        <w:t xml:space="preserve"> site</w:t>
      </w:r>
      <w:r>
        <w:t>s</w:t>
      </w:r>
      <w:r w:rsidR="005436FF">
        <w:t xml:space="preserve"> </w:t>
      </w:r>
      <w:r>
        <w:t>are</w:t>
      </w:r>
      <w:r w:rsidR="005436FF">
        <w:t xml:space="preserve"> selected using a formal randomization process</w:t>
      </w:r>
      <w:r w:rsidR="009F5C55">
        <w:t xml:space="preserve">, with a </w:t>
      </w:r>
      <w:r w:rsidR="005436FF">
        <w:t xml:space="preserve">new </w:t>
      </w:r>
      <w:r w:rsidR="009F5C55">
        <w:t xml:space="preserve">set of </w:t>
      </w:r>
      <w:r w:rsidR="005436FF">
        <w:t xml:space="preserve">sites selected prior </w:t>
      </w:r>
      <w:r>
        <w:t>to</w:t>
      </w:r>
      <w:r w:rsidR="005436FF">
        <w:t xml:space="preserve"> each survey mission. Typically, each island is visited for 3-5 days during a MARAMP cruise, which allows for a total of ~30-50 surveys to be conducted.</w:t>
      </w:r>
      <w:r>
        <w:t xml:space="preserve"> Exceptions include the small islands of </w:t>
      </w:r>
      <w:proofErr w:type="spellStart"/>
      <w:r w:rsidR="005436FF">
        <w:t>Sarigan</w:t>
      </w:r>
      <w:proofErr w:type="spellEnd"/>
      <w:r w:rsidR="005436FF">
        <w:t xml:space="preserve">, </w:t>
      </w:r>
      <w:proofErr w:type="spellStart"/>
      <w:r w:rsidR="005436FF">
        <w:t>Guguan</w:t>
      </w:r>
      <w:proofErr w:type="spellEnd"/>
      <w:r w:rsidR="005436FF">
        <w:t xml:space="preserve">, and </w:t>
      </w:r>
      <w:proofErr w:type="spellStart"/>
      <w:r w:rsidR="005436FF">
        <w:t>Alamagan</w:t>
      </w:r>
      <w:proofErr w:type="spellEnd"/>
      <w:r w:rsidR="005436FF">
        <w:t xml:space="preserve">, </w:t>
      </w:r>
      <w:r>
        <w:t xml:space="preserve">each of which is visited for one day. </w:t>
      </w:r>
      <w:r w:rsidR="009F5C55">
        <w:t>For routine analysis t</w:t>
      </w:r>
      <w:r>
        <w:t xml:space="preserve">hose three </w:t>
      </w:r>
      <w:r w:rsidR="009F5C55">
        <w:t xml:space="preserve">adjacent </w:t>
      </w:r>
      <w:r>
        <w:t>islands are pooled together into a single unit (“SGA”)</w:t>
      </w:r>
      <w:r w:rsidR="008E19FD">
        <w:t>.</w:t>
      </w:r>
    </w:p>
    <w:p w14:paraId="1979A562" w14:textId="0EA3400D" w:rsidR="007A2B6B" w:rsidRPr="00723C1C" w:rsidRDefault="00BC446D" w:rsidP="00C57890">
      <w:pPr>
        <w:pStyle w:val="Heading2"/>
      </w:pPr>
      <w:bookmarkStart w:id="2" w:name="_Toc282368369"/>
      <w:r>
        <w:t>Survey</w:t>
      </w:r>
      <w:r w:rsidR="007A2B6B" w:rsidRPr="00723C1C">
        <w:t xml:space="preserve"> methods</w:t>
      </w:r>
      <w:bookmarkEnd w:id="2"/>
    </w:p>
    <w:p w14:paraId="71473B12" w14:textId="4D4124D2" w:rsidR="007A2B6B" w:rsidRPr="00723C1C" w:rsidRDefault="008E19FD" w:rsidP="00BC446D">
      <w:pPr>
        <w:jc w:val="both"/>
      </w:pPr>
      <w:r>
        <w:t>T</w:t>
      </w:r>
      <w:r w:rsidR="007A2B6B" w:rsidRPr="00723C1C">
        <w:t>wo types of data are collected</w:t>
      </w:r>
      <w:r>
        <w:t xml:space="preserve"> at each survey site:</w:t>
      </w:r>
      <w:r w:rsidR="007A2B6B" w:rsidRPr="00723C1C">
        <w:t xml:space="preserve"> </w:t>
      </w:r>
      <w:r>
        <w:t>fish counts</w:t>
      </w:r>
      <w:proofErr w:type="gramStart"/>
      <w:r>
        <w:t>;</w:t>
      </w:r>
      <w:proofErr w:type="gramEnd"/>
      <w:r>
        <w:t xml:space="preserve"> and benthic cover estimates.</w:t>
      </w:r>
    </w:p>
    <w:p w14:paraId="4DF0E85C" w14:textId="296CF909" w:rsidR="007A2B6B" w:rsidRPr="00723C1C" w:rsidRDefault="007A2B6B" w:rsidP="00C57890">
      <w:pPr>
        <w:pStyle w:val="Heading3"/>
      </w:pPr>
      <w:bookmarkStart w:id="3" w:name="_Toc282368370"/>
      <w:r w:rsidRPr="00723C1C">
        <w:t>Counting and sizing reef fishes</w:t>
      </w:r>
      <w:bookmarkEnd w:id="3"/>
      <w:r w:rsidR="008E19FD">
        <w:t xml:space="preserve"> using the stationary point count method (SPC)</w:t>
      </w:r>
    </w:p>
    <w:p w14:paraId="0EC5CB1C" w14:textId="6150CD3D" w:rsidR="007A2B6B" w:rsidRPr="00723C1C" w:rsidRDefault="008E19FD" w:rsidP="00C57890">
      <w:pPr>
        <w:jc w:val="both"/>
      </w:pPr>
      <w:r>
        <w:t>Each site is surveyed by</w:t>
      </w:r>
      <w:r w:rsidR="007A2B6B" w:rsidRPr="00723C1C">
        <w:t xml:space="preserve"> a pair of divers conducting simultaneous counts in adjacent, visually estimated 15-m-diameter cylindrical plots extending from the substrate to the limits of vertical visibility (</w:t>
      </w:r>
      <w:r w:rsidR="00566F6A">
        <w:t xml:space="preserve">Figure </w:t>
      </w:r>
      <w:r>
        <w:t>1</w:t>
      </w:r>
      <w:r w:rsidR="007A2B6B" w:rsidRPr="00723C1C">
        <w:t>). Prior to beginning each SPC</w:t>
      </w:r>
      <w:r>
        <w:t>-</w:t>
      </w:r>
      <w:r w:rsidR="007A2B6B" w:rsidRPr="00723C1C">
        <w:t>pair, a 30-m line is laid across the substratum. Markings at 7.5 m, 15 m and 22.5 m enable survey divers to locate the midpoint (7.5 m or 22.5 m) and two edges (0 m and 15 m; or 15 m and 30 m) of their survey plots. Each count consists of two components</w:t>
      </w:r>
      <w:r>
        <w:t>: (</w:t>
      </w:r>
      <w:proofErr w:type="spellStart"/>
      <w:r>
        <w:t>i</w:t>
      </w:r>
      <w:proofErr w:type="spellEnd"/>
      <w:r>
        <w:t xml:space="preserve">) </w:t>
      </w:r>
      <w:r w:rsidR="007A2B6B" w:rsidRPr="00723C1C">
        <w:t xml:space="preserve">a 5-min </w:t>
      </w:r>
      <w:r w:rsidR="007A2B6B" w:rsidRPr="00B76AAF">
        <w:rPr>
          <w:b/>
        </w:rPr>
        <w:t>species enumeration period</w:t>
      </w:r>
      <w:r w:rsidR="007A2B6B" w:rsidRPr="00723C1C">
        <w:t xml:space="preserve"> in which the diver records the taxa of all species observed within their cylinder</w:t>
      </w:r>
      <w:r>
        <w:t xml:space="preserve">; followed by (ii) </w:t>
      </w:r>
      <w:r w:rsidR="007A2B6B" w:rsidRPr="00723C1C">
        <w:t xml:space="preserve">the </w:t>
      </w:r>
      <w:r w:rsidR="007A2B6B" w:rsidRPr="00B76AAF">
        <w:rPr>
          <w:b/>
        </w:rPr>
        <w:t>tallying portion</w:t>
      </w:r>
      <w:r w:rsidR="007A2B6B" w:rsidRPr="00723C1C">
        <w:t xml:space="preserve"> of the count, in which </w:t>
      </w:r>
      <w:r>
        <w:t>divers</w:t>
      </w:r>
      <w:r w:rsidR="007A2B6B" w:rsidRPr="00723C1C">
        <w:t xml:space="preserve"> systematically work through their species list</w:t>
      </w:r>
      <w:r>
        <w:t>s, recording the</w:t>
      </w:r>
      <w:r w:rsidR="007A2B6B" w:rsidRPr="00723C1C">
        <w:t xml:space="preserve"> number and estimated size (total length, TL, to the nearest cm) of each individual fish. The tallying portion is conducted as a series of rapid visual sweeps of the plot, with one species</w:t>
      </w:r>
      <w:r w:rsidR="00B76AAF">
        <w:t>/</w:t>
      </w:r>
      <w:r w:rsidR="007A2B6B" w:rsidRPr="00723C1C">
        <w:t xml:space="preserve">grouping counted per sweep. To the extent possible, divers remain at the center of their cylinders throughout </w:t>
      </w:r>
      <w:r>
        <w:t xml:space="preserve">most of </w:t>
      </w:r>
      <w:r w:rsidR="007A2B6B" w:rsidRPr="00723C1C">
        <w:t>the count</w:t>
      </w:r>
      <w:r>
        <w:t>; but s</w:t>
      </w:r>
      <w:r w:rsidR="007A2B6B" w:rsidRPr="00723C1C">
        <w:t xml:space="preserve">mall, generally site-attached and semi-cryptic species are left to the end of the tally period, at </w:t>
      </w:r>
      <w:r w:rsidR="007A2B6B" w:rsidRPr="00723C1C">
        <w:lastRenderedPageBreak/>
        <w:t xml:space="preserve">which time the observer swims through their plot </w:t>
      </w:r>
      <w:r>
        <w:t>counting</w:t>
      </w:r>
      <w:r w:rsidR="007A2B6B" w:rsidRPr="00723C1C">
        <w:t xml:space="preserve"> those species. </w:t>
      </w:r>
      <w:r>
        <w:t>When</w:t>
      </w:r>
      <w:r w:rsidR="007A2B6B" w:rsidRPr="00723C1C">
        <w:t xml:space="preserve"> a species is observed during the enumeration period but is not present during the </w:t>
      </w:r>
      <w:r>
        <w:t>instantaneous sweep for that taxa</w:t>
      </w:r>
      <w:r w:rsidR="007A2B6B" w:rsidRPr="00723C1C">
        <w:t>, divers record size and number observed in the first encounter during the enumeration period and mark the data record as “non</w:t>
      </w:r>
      <w:r w:rsidR="0020270C">
        <w:t>-</w:t>
      </w:r>
      <w:r w:rsidR="007A2B6B" w:rsidRPr="00723C1C">
        <w:t>instantaneous.” Surveys are not conducted if horizontal visibility is &lt; 7.5 m</w:t>
      </w:r>
      <w:r w:rsidR="0020270C">
        <w:t xml:space="preserve">. </w:t>
      </w:r>
    </w:p>
    <w:p w14:paraId="550D9C08" w14:textId="77777777" w:rsidR="007A2B6B" w:rsidRPr="00723C1C" w:rsidRDefault="007A2B6B" w:rsidP="00102B2F">
      <w:pPr>
        <w:pStyle w:val="NoSpacing"/>
        <w:jc w:val="both"/>
        <w:rPr>
          <w:rFonts w:ascii="Minion Pro" w:hAnsi="Minion Pro" w:cs="Times New Roman"/>
        </w:rPr>
      </w:pPr>
    </w:p>
    <w:p w14:paraId="0627B4DA" w14:textId="77777777" w:rsidR="007A2B6B" w:rsidRPr="00723C1C" w:rsidRDefault="007A2B6B" w:rsidP="00BC446D">
      <w:pPr>
        <w:pStyle w:val="NoSpacing"/>
        <w:keepNext/>
        <w:jc w:val="center"/>
        <w:rPr>
          <w:rFonts w:ascii="Minion Pro" w:hAnsi="Minion Pro" w:cs="Times New Roman"/>
        </w:rPr>
      </w:pPr>
      <w:r w:rsidRPr="00723C1C">
        <w:rPr>
          <w:rFonts w:ascii="Minion Pro" w:hAnsi="Minion Pro" w:cs="Times New Roman"/>
          <w:noProof/>
        </w:rPr>
        <w:drawing>
          <wp:inline distT="0" distB="0" distL="0" distR="0" wp14:anchorId="03046938" wp14:editId="5B4549DB">
            <wp:extent cx="4805680" cy="2976880"/>
            <wp:effectExtent l="19050" t="0" r="0" b="0"/>
            <wp:docPr id="20" name="Picture 20" descr="C:\Users\Adel.Heenan\Documents\fish_cruise_routine_report\monitoring_report\2012_status_report\status_report\figures\REA_METHOD_20131127_v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el.Heenan\Documents\fish_cruise_routine_report\monitoring_report\2012_status_report\status_report\figures\REA_METHOD_20131127_v5.png"/>
                    <pic:cNvPicPr>
                      <a:picLocks noChangeAspect="1" noChangeArrowheads="1"/>
                    </pic:cNvPicPr>
                  </pic:nvPicPr>
                  <pic:blipFill>
                    <a:blip r:embed="rId8"/>
                    <a:srcRect/>
                    <a:stretch>
                      <a:fillRect/>
                    </a:stretch>
                  </pic:blipFill>
                  <pic:spPr bwMode="auto">
                    <a:xfrm>
                      <a:off x="0" y="0"/>
                      <a:ext cx="4805680" cy="2976880"/>
                    </a:xfrm>
                    <a:prstGeom prst="rect">
                      <a:avLst/>
                    </a:prstGeom>
                    <a:noFill/>
                    <a:ln w="9525">
                      <a:noFill/>
                      <a:miter lim="800000"/>
                      <a:headEnd/>
                      <a:tailEnd/>
                    </a:ln>
                  </pic:spPr>
                </pic:pic>
              </a:graphicData>
            </a:graphic>
          </wp:inline>
        </w:drawing>
      </w:r>
    </w:p>
    <w:p w14:paraId="3C51CFC9" w14:textId="6F602CE8" w:rsidR="007A2B6B" w:rsidRPr="00723C1C" w:rsidRDefault="007A2B6B" w:rsidP="00BC446D">
      <w:pPr>
        <w:pStyle w:val="Caption"/>
        <w:jc w:val="center"/>
        <w:rPr>
          <w:rFonts w:ascii="Minion Pro" w:hAnsi="Minion Pro" w:cs="Times New Roman"/>
          <w:b w:val="0"/>
          <w:color w:val="auto"/>
        </w:rPr>
      </w:pPr>
      <w:bookmarkStart w:id="4" w:name="_Ref369514592"/>
      <w:bookmarkStart w:id="5" w:name="_Toc369588474"/>
      <w:bookmarkStart w:id="6" w:name="_Ref373408156"/>
      <w:bookmarkStart w:id="7" w:name="_Toc373502694"/>
      <w:r w:rsidRPr="00723C1C">
        <w:rPr>
          <w:rFonts w:ascii="Minion Pro" w:hAnsi="Minion Pro" w:cs="Times New Roman"/>
          <w:b w:val="0"/>
          <w:color w:val="auto"/>
        </w:rPr>
        <w:t xml:space="preserve">Figure </w:t>
      </w:r>
      <w:bookmarkEnd w:id="4"/>
      <w:r w:rsidR="008E19FD">
        <w:rPr>
          <w:rFonts w:ascii="Minion Pro" w:hAnsi="Minion Pro" w:cs="Times New Roman"/>
          <w:b w:val="0"/>
          <w:color w:val="auto"/>
        </w:rPr>
        <w:t>1</w:t>
      </w:r>
      <w:r w:rsidRPr="00723C1C">
        <w:rPr>
          <w:rFonts w:ascii="Minion Pro" w:hAnsi="Minion Pro" w:cs="Times New Roman"/>
          <w:b w:val="0"/>
          <w:color w:val="auto"/>
        </w:rPr>
        <w:t xml:space="preserve"> </w:t>
      </w:r>
      <w:bookmarkStart w:id="8" w:name="_Toc369588536"/>
      <w:r w:rsidRPr="00723C1C">
        <w:rPr>
          <w:rFonts w:ascii="Minion Pro" w:hAnsi="Minion Pro" w:cs="Times New Roman"/>
          <w:b w:val="0"/>
          <w:color w:val="auto"/>
        </w:rPr>
        <w:t>Side view of the stationary point count method</w:t>
      </w:r>
      <w:r w:rsidR="0020270C">
        <w:rPr>
          <w:rFonts w:ascii="Minion Pro" w:hAnsi="Minion Pro" w:cs="Times New Roman"/>
          <w:b w:val="0"/>
          <w:color w:val="auto"/>
        </w:rPr>
        <w:t>. Surveys typically consist of one SPC-</w:t>
      </w:r>
      <w:r w:rsidR="00C57890">
        <w:rPr>
          <w:rFonts w:ascii="Minion Pro" w:hAnsi="Minion Pro" w:cs="Times New Roman"/>
          <w:b w:val="0"/>
          <w:color w:val="auto"/>
        </w:rPr>
        <w:t>pair</w:t>
      </w:r>
      <w:r w:rsidR="0020270C">
        <w:rPr>
          <w:rFonts w:ascii="Minion Pro" w:hAnsi="Minion Pro" w:cs="Times New Roman"/>
          <w:b w:val="0"/>
          <w:color w:val="auto"/>
        </w:rPr>
        <w:t xml:space="preserve"> but some sites are surveyed by means of 2 SPC-pairs</w:t>
      </w:r>
      <w:r w:rsidRPr="00723C1C">
        <w:rPr>
          <w:rFonts w:ascii="Minion Pro" w:hAnsi="Minion Pro" w:cs="Times New Roman"/>
          <w:b w:val="0"/>
          <w:color w:val="auto"/>
        </w:rPr>
        <w:t xml:space="preserve">. </w:t>
      </w:r>
      <w:r w:rsidR="0020270C">
        <w:rPr>
          <w:rFonts w:ascii="Minion Pro" w:hAnsi="Minion Pro" w:cs="Times New Roman"/>
          <w:b w:val="0"/>
          <w:color w:val="auto"/>
        </w:rPr>
        <w:t>During counts, d</w:t>
      </w:r>
      <w:r w:rsidRPr="00723C1C">
        <w:rPr>
          <w:rFonts w:ascii="Minion Pro" w:hAnsi="Minion Pro" w:cs="Times New Roman"/>
          <w:b w:val="0"/>
          <w:color w:val="auto"/>
        </w:rPr>
        <w:t xml:space="preserve">ive partners count and size fishes within </w:t>
      </w:r>
      <w:r w:rsidR="00C57890">
        <w:rPr>
          <w:rFonts w:ascii="Minion Pro" w:hAnsi="Minion Pro" w:cs="Times New Roman"/>
          <w:b w:val="0"/>
          <w:color w:val="auto"/>
        </w:rPr>
        <w:t>their</w:t>
      </w:r>
      <w:r w:rsidRPr="00723C1C">
        <w:rPr>
          <w:rFonts w:ascii="Minion Pro" w:hAnsi="Minion Pro" w:cs="Times New Roman"/>
          <w:b w:val="0"/>
          <w:color w:val="auto"/>
        </w:rPr>
        <w:t xml:space="preserve"> cylinders measuring 7.5 m in radius. Once the fish survey is complete, divers estimate benthic habitat composition and </w:t>
      </w:r>
      <w:r w:rsidR="0020270C">
        <w:rPr>
          <w:rFonts w:ascii="Minion Pro" w:hAnsi="Minion Pro" w:cs="Times New Roman"/>
          <w:b w:val="0"/>
          <w:color w:val="auto"/>
        </w:rPr>
        <w:t xml:space="preserve">conduct </w:t>
      </w:r>
      <w:r w:rsidRPr="00723C1C">
        <w:rPr>
          <w:rFonts w:ascii="Minion Pro" w:hAnsi="Minion Pro" w:cs="Times New Roman"/>
          <w:b w:val="0"/>
          <w:color w:val="auto"/>
        </w:rPr>
        <w:t xml:space="preserve">a </w:t>
      </w:r>
      <w:r>
        <w:rPr>
          <w:rFonts w:ascii="Minion Pro" w:hAnsi="Minion Pro" w:cs="Times New Roman"/>
          <w:b w:val="0"/>
          <w:color w:val="auto"/>
        </w:rPr>
        <w:t xml:space="preserve">benthic </w:t>
      </w:r>
      <w:r w:rsidRPr="00723C1C">
        <w:rPr>
          <w:rFonts w:ascii="Minion Pro" w:hAnsi="Minion Pro" w:cs="Times New Roman"/>
          <w:b w:val="0"/>
          <w:color w:val="auto"/>
        </w:rPr>
        <w:t>photo-transect spanning the two cylinder</w:t>
      </w:r>
      <w:bookmarkEnd w:id="5"/>
      <w:bookmarkEnd w:id="8"/>
      <w:r w:rsidRPr="00723C1C">
        <w:rPr>
          <w:rFonts w:ascii="Minion Pro" w:hAnsi="Minion Pro" w:cs="Times New Roman"/>
          <w:b w:val="0"/>
          <w:color w:val="auto"/>
        </w:rPr>
        <w:t>s.</w:t>
      </w:r>
      <w:bookmarkEnd w:id="6"/>
      <w:bookmarkEnd w:id="7"/>
    </w:p>
    <w:p w14:paraId="0B35C4CA" w14:textId="193EAC18" w:rsidR="007A2B6B" w:rsidRPr="00B01FAD" w:rsidRDefault="007A2B6B" w:rsidP="00C57890">
      <w:pPr>
        <w:pStyle w:val="Heading3"/>
      </w:pPr>
      <w:bookmarkStart w:id="9" w:name="_Toc282368371"/>
      <w:r w:rsidRPr="00723C1C">
        <w:t>Assessing benthic habitat characteristics</w:t>
      </w:r>
      <w:bookmarkEnd w:id="9"/>
    </w:p>
    <w:p w14:paraId="28CB3C72" w14:textId="30380EAA" w:rsidR="007A2B6B" w:rsidRDefault="007A2B6B" w:rsidP="00BC446D">
      <w:pPr>
        <w:jc w:val="both"/>
      </w:pPr>
      <w:r w:rsidRPr="00723C1C">
        <w:t xml:space="preserve">Two complementary methods are used to assess benthic composition within </w:t>
      </w:r>
      <w:r w:rsidR="00B01FAD">
        <w:t>survey</w:t>
      </w:r>
      <w:r w:rsidRPr="00723C1C">
        <w:t xml:space="preserve"> </w:t>
      </w:r>
      <w:r w:rsidR="00950F76">
        <w:t>cylinders</w:t>
      </w:r>
      <w:r w:rsidR="00B01FAD">
        <w:t>: (</w:t>
      </w:r>
      <w:proofErr w:type="spellStart"/>
      <w:r w:rsidR="00B01FAD">
        <w:t>i</w:t>
      </w:r>
      <w:proofErr w:type="spellEnd"/>
      <w:r w:rsidR="00B01FAD">
        <w:t xml:space="preserve">) </w:t>
      </w:r>
      <w:r w:rsidRPr="00723C1C">
        <w:t xml:space="preserve">divers conduct </w:t>
      </w:r>
      <w:r w:rsidRPr="00700AD9">
        <w:rPr>
          <w:b/>
        </w:rPr>
        <w:t>rapid visual assessment</w:t>
      </w:r>
      <w:r w:rsidR="00B01FAD">
        <w:rPr>
          <w:b/>
        </w:rPr>
        <w:t>s</w:t>
      </w:r>
      <w:r w:rsidRPr="00723C1C">
        <w:t xml:space="preserve"> of percentage cover of major functional categories </w:t>
      </w:r>
      <w:r w:rsidR="00B01FAD">
        <w:t>(e.g. ‘coral’. ‘</w:t>
      </w:r>
      <w:proofErr w:type="gramStart"/>
      <w:r w:rsidR="00B01FAD">
        <w:t>turf</w:t>
      </w:r>
      <w:proofErr w:type="gramEnd"/>
      <w:r w:rsidR="00B01FAD">
        <w:t xml:space="preserve"> algae’</w:t>
      </w:r>
      <w:r w:rsidR="00B01FAD">
        <w:t>, ‘</w:t>
      </w:r>
      <w:proofErr w:type="spellStart"/>
      <w:r w:rsidR="00B01FAD">
        <w:t>macroalgae</w:t>
      </w:r>
      <w:proofErr w:type="spellEnd"/>
      <w:r w:rsidR="00B01FAD">
        <w:t>’</w:t>
      </w:r>
      <w:r w:rsidR="00B01FAD">
        <w:t>)</w:t>
      </w:r>
      <w:r w:rsidR="00B01FAD">
        <w:t>; and (ii) divers</w:t>
      </w:r>
      <w:r w:rsidRPr="00723C1C">
        <w:t xml:space="preserve"> </w:t>
      </w:r>
      <w:r w:rsidR="00B01FAD">
        <w:t>conduct</w:t>
      </w:r>
      <w:r w:rsidRPr="00723C1C">
        <w:t xml:space="preserve"> </w:t>
      </w:r>
      <w:r w:rsidR="00700AD9">
        <w:t xml:space="preserve">a </w:t>
      </w:r>
      <w:r w:rsidRPr="00700AD9">
        <w:rPr>
          <w:b/>
        </w:rPr>
        <w:t xml:space="preserve">photo </w:t>
      </w:r>
      <w:r w:rsidR="00700AD9" w:rsidRPr="00700AD9">
        <w:rPr>
          <w:b/>
        </w:rPr>
        <w:t>transect</w:t>
      </w:r>
      <w:r w:rsidRPr="00700AD9">
        <w:rPr>
          <w:b/>
        </w:rPr>
        <w:t xml:space="preserve"> </w:t>
      </w:r>
      <w:r w:rsidR="00B01FAD">
        <w:t>through the middle of their SPC-pair</w:t>
      </w:r>
      <w:r w:rsidRPr="00723C1C">
        <w:t xml:space="preserve">. </w:t>
      </w:r>
      <w:r w:rsidR="00C82AB8">
        <w:t>Analysis of p</w:t>
      </w:r>
      <w:r w:rsidR="00700AD9">
        <w:t>hoto</w:t>
      </w:r>
      <w:r w:rsidRPr="00723C1C">
        <w:t>-quadrat provide</w:t>
      </w:r>
      <w:r w:rsidR="00C82AB8">
        <w:t>s</w:t>
      </w:r>
      <w:r w:rsidRPr="00723C1C">
        <w:t xml:space="preserve"> </w:t>
      </w:r>
      <w:r w:rsidR="00700AD9">
        <w:t>taxonomically fine</w:t>
      </w:r>
      <w:r w:rsidR="00B01FAD">
        <w:t>r</w:t>
      </w:r>
      <w:r w:rsidR="00700AD9">
        <w:t xml:space="preserve">-scale </w:t>
      </w:r>
      <w:r w:rsidR="00C82AB8">
        <w:t>information</w:t>
      </w:r>
      <w:r w:rsidR="00700AD9">
        <w:t xml:space="preserve">, </w:t>
      </w:r>
      <w:r w:rsidRPr="00723C1C">
        <w:t xml:space="preserve">but </w:t>
      </w:r>
      <w:r w:rsidR="00700AD9">
        <w:t>require</w:t>
      </w:r>
      <w:r w:rsidR="00C82AB8">
        <w:t>s</w:t>
      </w:r>
      <w:r w:rsidRPr="00723C1C">
        <w:t xml:space="preserve"> post-survey processing</w:t>
      </w:r>
      <w:r w:rsidR="00950F76">
        <w:t xml:space="preserve"> </w:t>
      </w:r>
      <w:r w:rsidR="00C82AB8">
        <w:t xml:space="preserve">and hence </w:t>
      </w:r>
      <w:r w:rsidR="00950F76">
        <w:t xml:space="preserve">there is </w:t>
      </w:r>
      <w:r w:rsidR="00C82AB8">
        <w:t>a</w:t>
      </w:r>
      <w:r w:rsidR="00950F76">
        <w:t xml:space="preserve"> lag before that data are available</w:t>
      </w:r>
      <w:r>
        <w:t xml:space="preserve">. </w:t>
      </w:r>
    </w:p>
    <w:p w14:paraId="75579792" w14:textId="77777777" w:rsidR="00C1700A" w:rsidRPr="00723C1C" w:rsidRDefault="00C1700A" w:rsidP="00BC446D">
      <w:pPr>
        <w:jc w:val="both"/>
      </w:pPr>
    </w:p>
    <w:p w14:paraId="3AD33ADE" w14:textId="76D10D8A" w:rsidR="007A2B6B" w:rsidRPr="00723C1C" w:rsidRDefault="00950F76" w:rsidP="00BC446D">
      <w:pPr>
        <w:jc w:val="both"/>
      </w:pPr>
      <w:r>
        <w:t>D</w:t>
      </w:r>
      <w:r w:rsidR="007A2B6B" w:rsidRPr="00723C1C">
        <w:t xml:space="preserve">ivers </w:t>
      </w:r>
      <w:r>
        <w:t xml:space="preserve">also </w:t>
      </w:r>
      <w:r w:rsidR="007A2B6B" w:rsidRPr="00723C1C">
        <w:t>record reef habitat complexity by visually estimating the percentage of the</w:t>
      </w:r>
      <w:r>
        <w:t>ir</w:t>
      </w:r>
      <w:r w:rsidR="007A2B6B" w:rsidRPr="00723C1C">
        <w:t xml:space="preserve"> cylinder that falls into the following levels of vertical relief:</w:t>
      </w:r>
      <w:r w:rsidR="007A2B6B">
        <w:t xml:space="preserve"> &lt;0.20</w:t>
      </w:r>
      <w:r w:rsidR="007A2B6B" w:rsidRPr="00723C1C">
        <w:t xml:space="preserve"> m</w:t>
      </w:r>
      <w:r w:rsidR="009B53FB">
        <w:t xml:space="preserve"> from substrate</w:t>
      </w:r>
      <w:r w:rsidR="007A2B6B" w:rsidRPr="00723C1C">
        <w:t>, 0.2</w:t>
      </w:r>
      <w:r w:rsidR="007A2B6B">
        <w:t>0</w:t>
      </w:r>
      <w:r w:rsidR="007A2B6B" w:rsidRPr="00723C1C">
        <w:t>–0.</w:t>
      </w:r>
      <w:r w:rsidR="007A2B6B">
        <w:t>50</w:t>
      </w:r>
      <w:r w:rsidR="007A2B6B" w:rsidRPr="00723C1C">
        <w:t xml:space="preserve"> m, 0.</w:t>
      </w:r>
      <w:r w:rsidR="007A2B6B">
        <w:t>50</w:t>
      </w:r>
      <w:r w:rsidR="007A2B6B" w:rsidRPr="00723C1C">
        <w:t>–1.</w:t>
      </w:r>
      <w:r w:rsidR="007A2B6B">
        <w:t>00</w:t>
      </w:r>
      <w:r w:rsidR="007A2B6B" w:rsidRPr="00723C1C">
        <w:t xml:space="preserve"> m, </w:t>
      </w:r>
      <w:r w:rsidR="007A2B6B">
        <w:t>1.00</w:t>
      </w:r>
      <w:r w:rsidR="007A2B6B" w:rsidRPr="00723C1C">
        <w:t>–</w:t>
      </w:r>
      <w:r w:rsidR="007A2B6B">
        <w:t>1.50</w:t>
      </w:r>
      <w:r w:rsidR="007A2B6B" w:rsidRPr="00723C1C">
        <w:t xml:space="preserve"> m, and </w:t>
      </w:r>
      <w:r w:rsidR="007A2B6B">
        <w:t>&gt;1.50</w:t>
      </w:r>
      <w:r w:rsidR="007A2B6B" w:rsidRPr="00723C1C">
        <w:t xml:space="preserve"> m. </w:t>
      </w:r>
      <w:r w:rsidR="009B53FB">
        <w:t xml:space="preserve">Divers also record the abundance </w:t>
      </w:r>
      <w:r w:rsidR="007A2B6B" w:rsidRPr="00723C1C">
        <w:t xml:space="preserve">of free (e.g., </w:t>
      </w:r>
      <w:proofErr w:type="spellStart"/>
      <w:r w:rsidR="007A2B6B" w:rsidRPr="00723C1C">
        <w:rPr>
          <w:i/>
        </w:rPr>
        <w:t>Tripneustes</w:t>
      </w:r>
      <w:proofErr w:type="spellEnd"/>
      <w:r w:rsidR="007A2B6B" w:rsidRPr="00723C1C">
        <w:rPr>
          <w:i/>
        </w:rPr>
        <w:t xml:space="preserve">, </w:t>
      </w:r>
      <w:proofErr w:type="spellStart"/>
      <w:r w:rsidR="007A2B6B" w:rsidRPr="00723C1C">
        <w:rPr>
          <w:i/>
        </w:rPr>
        <w:t>Heterocentrotus</w:t>
      </w:r>
      <w:proofErr w:type="spellEnd"/>
      <w:r w:rsidR="007A2B6B" w:rsidRPr="00723C1C">
        <w:rPr>
          <w:i/>
        </w:rPr>
        <w:t xml:space="preserve">, </w:t>
      </w:r>
      <w:proofErr w:type="spellStart"/>
      <w:r w:rsidR="007A2B6B" w:rsidRPr="00723C1C">
        <w:rPr>
          <w:i/>
        </w:rPr>
        <w:t>Diadema</w:t>
      </w:r>
      <w:proofErr w:type="spellEnd"/>
      <w:r w:rsidR="007A2B6B" w:rsidRPr="00723C1C">
        <w:rPr>
          <w:i/>
        </w:rPr>
        <w:t xml:space="preserve"> </w:t>
      </w:r>
      <w:r w:rsidR="007A2B6B" w:rsidRPr="00723C1C">
        <w:t xml:space="preserve">and </w:t>
      </w:r>
      <w:proofErr w:type="spellStart"/>
      <w:r w:rsidR="007A2B6B" w:rsidRPr="00723C1C">
        <w:rPr>
          <w:i/>
        </w:rPr>
        <w:t>Echinothrix</w:t>
      </w:r>
      <w:proofErr w:type="spellEnd"/>
      <w:r w:rsidR="007A2B6B" w:rsidRPr="00723C1C">
        <w:rPr>
          <w:i/>
        </w:rPr>
        <w:t xml:space="preserve">) </w:t>
      </w:r>
      <w:r w:rsidR="007A2B6B" w:rsidRPr="00723C1C">
        <w:t xml:space="preserve">and boring (e.g., </w:t>
      </w:r>
      <w:proofErr w:type="spellStart"/>
      <w:r w:rsidR="007A2B6B" w:rsidRPr="00723C1C">
        <w:rPr>
          <w:i/>
        </w:rPr>
        <w:t>Echinometra</w:t>
      </w:r>
      <w:proofErr w:type="spellEnd"/>
      <w:r w:rsidR="007A2B6B" w:rsidRPr="00723C1C">
        <w:rPr>
          <w:i/>
        </w:rPr>
        <w:t xml:space="preserve"> </w:t>
      </w:r>
      <w:r w:rsidR="007A2B6B" w:rsidRPr="00723C1C">
        <w:t xml:space="preserve">and </w:t>
      </w:r>
      <w:proofErr w:type="spellStart"/>
      <w:r w:rsidR="007A2B6B" w:rsidRPr="00723C1C">
        <w:rPr>
          <w:i/>
        </w:rPr>
        <w:t>Ech</w:t>
      </w:r>
      <w:r w:rsidR="007A2B6B">
        <w:rPr>
          <w:i/>
        </w:rPr>
        <w:t>i</w:t>
      </w:r>
      <w:r w:rsidR="007A2B6B" w:rsidRPr="00723C1C">
        <w:rPr>
          <w:i/>
        </w:rPr>
        <w:t>nostephus</w:t>
      </w:r>
      <w:proofErr w:type="spellEnd"/>
      <w:r w:rsidR="007A2B6B" w:rsidRPr="00723C1C">
        <w:t>)</w:t>
      </w:r>
      <w:r w:rsidR="007A2B6B" w:rsidRPr="00723C1C">
        <w:rPr>
          <w:i/>
        </w:rPr>
        <w:t xml:space="preserve"> </w:t>
      </w:r>
      <w:r w:rsidR="007A2B6B" w:rsidRPr="00723C1C">
        <w:t>urchins on a DACOR. Finally</w:t>
      </w:r>
      <w:r>
        <w:t>,</w:t>
      </w:r>
      <w:r w:rsidR="007A2B6B" w:rsidRPr="00723C1C">
        <w:t xml:space="preserve"> divers </w:t>
      </w:r>
      <w:r w:rsidR="009B53FB">
        <w:t>also classify habitat type using</w:t>
      </w:r>
      <w:r w:rsidR="007A2B6B" w:rsidRPr="00723C1C">
        <w:t xml:space="preserve"> the geomorphological </w:t>
      </w:r>
      <w:r>
        <w:t>categories</w:t>
      </w:r>
      <w:r w:rsidR="007A2B6B" w:rsidRPr="00723C1C">
        <w:t xml:space="preserve"> identified by the </w:t>
      </w:r>
      <w:r>
        <w:t xml:space="preserve">NOAA National Ocean Service </w:t>
      </w:r>
      <w:r w:rsidR="007A2B6B" w:rsidRPr="00723C1C">
        <w:t>Biogeography Branch</w:t>
      </w:r>
      <w:r w:rsidR="009B53FB">
        <w:t>:</w:t>
      </w:r>
      <w:r w:rsidR="007A2B6B" w:rsidRPr="00723C1C">
        <w:t xml:space="preserve"> aggregate reef, individual patch reef, aggregated patch reefs, spur and groove, pavement, pavement with sand channels, pavemen</w:t>
      </w:r>
      <w:r w:rsidR="007A2B6B">
        <w:t xml:space="preserve">t with patch reefs, reef rubble, sand with scattered coral/rock </w:t>
      </w:r>
      <w:r w:rsidR="007A2B6B" w:rsidRPr="00723C1C">
        <w:t xml:space="preserve">and rock / boulder </w:t>
      </w:r>
      <w:r w:rsidR="007D3872">
        <w:fldChar w:fldCharType="begin" w:fldLock="1"/>
      </w:r>
      <w:r w:rsidR="007D3872">
        <w:instrText>ADDIN CSL_CITATION { "citationItems" : [ { "id" : "ITEM-1", "itemData" : { "author" : [ { "dropping-particle" : "", "family" : "Kendall", "given" : "Matthew", "non-dropping-particle" : "", "parse-names" : false, "suffix" : "" }, { "dropping-particle" : "", "family" : "Poti", "given" : "M", "non-dropping-particle" : "", "parse-names" : false, "suffix" : "" } ], "container-title" : "NOAA Tech Memo NOS NCCOS", "id" : "ITEM-1", "issued" : { "date-parts" : [ [ "2011" ] ] }, "number-of-pages" : "229", "publisher-place" : "Silver Spring, MD.", "title" : "A biogeographic assessment of the Samoan Archipelago", "type" : "report" }, "uris" : [ "http://www.mendeley.com/documents/?uuid=f3c0f398-b07d-4f95-b4b1-bc186c02ed27" ] } ], "mendeley" : { "formattedCitation" : "(Kendall &amp; Poti, 2011)", "plainTextFormattedCitation" : "(Kendall &amp; Poti, 2011)", "previouslyFormattedCitation" : "(Kendall &amp; Poti, 2011)" }, "properties" : { "noteIndex" : 0 }, "schema" : "https://github.com/citation-style-language/schema/raw/master/csl-citation.json" }</w:instrText>
      </w:r>
      <w:r w:rsidR="007D3872">
        <w:fldChar w:fldCharType="separate"/>
      </w:r>
      <w:r w:rsidR="007D3872" w:rsidRPr="007D3872">
        <w:rPr>
          <w:noProof/>
        </w:rPr>
        <w:t>(Kendall &amp; Poti, 2011)</w:t>
      </w:r>
      <w:r w:rsidR="007D3872">
        <w:fldChar w:fldCharType="end"/>
      </w:r>
      <w:r w:rsidR="007A2B6B" w:rsidRPr="00723C1C">
        <w:t xml:space="preserve">. </w:t>
      </w:r>
    </w:p>
    <w:p w14:paraId="5F914D49" w14:textId="77777777" w:rsidR="007A2B6B" w:rsidRDefault="007A2B6B" w:rsidP="00BC446D">
      <w:pPr>
        <w:jc w:val="both"/>
      </w:pPr>
    </w:p>
    <w:p w14:paraId="35EC42F3" w14:textId="16A5B573" w:rsidR="00C57890" w:rsidRDefault="009B53FB" w:rsidP="00102B2F">
      <w:pPr>
        <w:jc w:val="both"/>
      </w:pPr>
      <w:r>
        <w:t>More complete description of the survey approach are given in CRED fish survey s</w:t>
      </w:r>
      <w:r w:rsidR="009F5C55" w:rsidRPr="00723C1C">
        <w:t xml:space="preserve">tandard </w:t>
      </w:r>
      <w:r>
        <w:t>o</w:t>
      </w:r>
      <w:r w:rsidR="009F5C55" w:rsidRPr="00723C1C">
        <w:t xml:space="preserve">perating </w:t>
      </w:r>
      <w:r>
        <w:t>procedure document</w:t>
      </w:r>
      <w:r w:rsidR="009F5C55" w:rsidRPr="00723C1C">
        <w:t xml:space="preserve"> </w:t>
      </w:r>
      <w:r w:rsidR="007D3872">
        <w:fldChar w:fldCharType="begin" w:fldLock="1"/>
      </w:r>
      <w:r w:rsidR="007D3872">
        <w:instrText>ADDIN CSL_CITATION { "citationItems" : [ { "id" : "ITEM-1", "itemData" : { "author" : [ { "dropping-particle" : "", "family" : "Ayotte", "given" : "P M", "non-dropping-particle" : "", "parse-names" : false, "suffix" : "" }, { "dropping-particle" : "", "family" : "McCoy", "given" : "K S", "non-dropping-particle" : "", "parse-names" : false, "suffix" : "" }, { "dropping-particle" : "", "family" : "Williams", "given" : "I D", "non-dropping-particle" : "", "parse-names" : false, "suffix" : "" }, { "dropping-particle" : "", "family" : "Zamzow", "given" : "J P", "non-dropping-particle" : "", "parse-names" : false, "suffix" : "" } ], "id" : "ITEM-1", "issued" : { "date-parts" : [ [ "2011" ] ] }, "number-of-pages" : "24 p.", "publisher-place" : "Pacific Islands Fisheries Science Center PIFSC Admin Report 11-08", "title" : "Coral Reef Ecosystem Division standard operating procedures: data collection for Rapid Ecological Assessment fish surveys.", "type" : "report", "volume" : "Administra" }, "uris" : [ "http://www.mendeley.com/documents/?uuid=076a0d52-788c-486c-93bb-c5d4b868c758" ] } ], "mendeley" : { "formattedCitation" : "(Ayotte, McCoy, Williams, &amp; Zamzow, 2011)", "plainTextFormattedCitation" : "(Ayotte, McCoy, Williams, &amp; Zamzow, 2011)", "previouslyFormattedCitation" : "(Ayotte, McCoy, Williams, &amp; Zamzow, 2011)" }, "properties" : { "noteIndex" : 0 }, "schema" : "https://github.com/citation-style-language/schema/raw/master/csl-citation.json" }</w:instrText>
      </w:r>
      <w:r w:rsidR="007D3872">
        <w:fldChar w:fldCharType="separate"/>
      </w:r>
      <w:r w:rsidR="007D3872" w:rsidRPr="007D3872">
        <w:rPr>
          <w:noProof/>
        </w:rPr>
        <w:t>(Ayotte, McCoy, Williams, &amp; Zamzow, 2011)</w:t>
      </w:r>
      <w:r w:rsidR="007D3872">
        <w:fldChar w:fldCharType="end"/>
      </w:r>
      <w:r w:rsidR="009F5C55" w:rsidRPr="00723C1C">
        <w:t>.</w:t>
      </w:r>
    </w:p>
    <w:p w14:paraId="4B492D97" w14:textId="4EF9F982" w:rsidR="00C57890" w:rsidRDefault="00C57890" w:rsidP="00C57890">
      <w:pPr>
        <w:pStyle w:val="Heading2"/>
      </w:pPr>
      <w:r>
        <w:t xml:space="preserve">Synthesizing Data – Generating reef fish biomass estimates </w:t>
      </w:r>
    </w:p>
    <w:p w14:paraId="71751E17" w14:textId="3C674863" w:rsidR="00C57890" w:rsidRDefault="00C57890" w:rsidP="00C57890">
      <w:pPr>
        <w:jc w:val="both"/>
      </w:pPr>
      <w:r>
        <w:t>Survey data are generally synthesized to generate estimates of biomass, i.e. weight of fish per unit area surveyed. Fish weights are</w:t>
      </w:r>
      <w:r w:rsidRPr="00723C1C">
        <w:t xml:space="preserve"> </w:t>
      </w:r>
      <w:r>
        <w:t>derived</w:t>
      </w:r>
      <w:r w:rsidRPr="00723C1C">
        <w:t xml:space="preserve"> </w:t>
      </w:r>
      <w:r>
        <w:t xml:space="preserve">from lengths </w:t>
      </w:r>
      <w:r w:rsidRPr="00723C1C">
        <w:t xml:space="preserve">using </w:t>
      </w:r>
      <w:r>
        <w:t xml:space="preserve">taxon-specific </w:t>
      </w:r>
      <w:r w:rsidRPr="00723C1C">
        <w:t xml:space="preserve">length-weight </w:t>
      </w:r>
      <w:r>
        <w:t>conversion parameters</w:t>
      </w:r>
      <w:r w:rsidRPr="00723C1C">
        <w:t>.</w:t>
      </w:r>
      <w:r>
        <w:t xml:space="preserve"> To generate biomass (as g/m</w:t>
      </w:r>
      <w:r w:rsidRPr="008E19FD">
        <w:rPr>
          <w:vertAlign w:val="superscript"/>
        </w:rPr>
        <w:t>2</w:t>
      </w:r>
      <w:r>
        <w:t>), total fish weight is summed for a divers’ count and then divided by the area surveyed (176.7 m</w:t>
      </w:r>
      <w:r w:rsidRPr="00082CC7">
        <w:rPr>
          <w:vertAlign w:val="superscript"/>
        </w:rPr>
        <w:t>2</w:t>
      </w:r>
      <w:r>
        <w:t xml:space="preserve"> per SPC cylinder).</w:t>
      </w:r>
      <w:r w:rsidRPr="00723C1C">
        <w:t xml:space="preserve"> Data from the two adjacent SPC </w:t>
      </w:r>
      <w:r>
        <w:t>cylinders</w:t>
      </w:r>
      <w:r w:rsidRPr="00723C1C">
        <w:t xml:space="preserve"> are averaged to create a </w:t>
      </w:r>
      <w:r>
        <w:t>mean</w:t>
      </w:r>
      <w:r w:rsidRPr="00723C1C">
        <w:t xml:space="preserve"> estimate for </w:t>
      </w:r>
      <w:r>
        <w:t>the SPC-pair.</w:t>
      </w:r>
      <w:r w:rsidRPr="00723C1C">
        <w:t xml:space="preserve"> </w:t>
      </w:r>
      <w:r>
        <w:t>I</w:t>
      </w:r>
      <w:r w:rsidRPr="00723C1C">
        <w:t xml:space="preserve">n </w:t>
      </w:r>
      <w:r>
        <w:t xml:space="preserve">some </w:t>
      </w:r>
      <w:r w:rsidRPr="00723C1C">
        <w:t>cases</w:t>
      </w:r>
      <w:r>
        <w:t xml:space="preserve">, a site is surveyed by means of 2 SPC-pairs. When that happens, </w:t>
      </w:r>
      <w:r w:rsidRPr="00723C1C">
        <w:t xml:space="preserve">data </w:t>
      </w:r>
      <w:r>
        <w:t xml:space="preserve">are averaged within the SPC-pairs, and then between SPC-pairs </w:t>
      </w:r>
      <w:r w:rsidRPr="00723C1C">
        <w:t xml:space="preserve">to </w:t>
      </w:r>
      <w:r>
        <w:t>generate</w:t>
      </w:r>
      <w:r w:rsidRPr="00723C1C">
        <w:t xml:space="preserve"> site</w:t>
      </w:r>
      <w:r>
        <w:t>-level</w:t>
      </w:r>
      <w:r w:rsidRPr="00723C1C">
        <w:t xml:space="preserve"> estimates.</w:t>
      </w:r>
      <w:r>
        <w:t xml:space="preserve"> </w:t>
      </w:r>
      <w:r>
        <w:t>Fish data can be pooled in a variety of ways, e.g. per species, family or trophic group. The NCRMP default is to pool data by consumer group, i.e. as ‘PRIMARY’ (herbivores and detritivores); ‘SECONDARY’ (</w:t>
      </w:r>
      <w:proofErr w:type="spellStart"/>
      <w:r>
        <w:t>invertivores</w:t>
      </w:r>
      <w:proofErr w:type="spellEnd"/>
      <w:r>
        <w:t xml:space="preserve"> and omnivores); PLANKTIVORES; and PISCIVORES. Consumer group classifications are listed in CRED data reports </w:t>
      </w:r>
      <w:r>
        <w:fldChar w:fldCharType="begin" w:fldLock="1"/>
      </w:r>
      <w:r>
        <w:instrText>ADDIN CSL_CITATION { "citationItems" : [ { "id" : "ITEM-1", "itemData" : { "author" : [ { "dropping-particle" : "", "family" : "Heenan", "given" : "Adel", "non-dropping-particle" : "", "parse-names" : false, "suffix" : "" }, { "dropping-particle" : "", "family" : "McCoy", "given" : "K S", "non-dropping-particle" : "", "parse-names" : false, "suffix" : "" }, { "dropping-particle" : "", "family" : "Asher", "given" : "Jacob", "non-dropping-particle" : "", "parse-names" : false, "suffix" : "" }, { "dropping-particle" : "", "family" : "Ayotte", "given" : "Paula", "non-dropping-particle" : "", "parse-names" : false, "suffix" : "" }, { "dropping-particle" : "", "family" : "Gorospe", "given" : "Kelvin", "non-dropping-particle" : "", "parse-names" : false, "suffix" : "" }, { "dropping-particle" : "", "family" : "Gray", "given" : "Andrew", "non-dropping-particle" : "", "parse-names" : false, "suffix" : "" }, { "dropping-particle" : "", "family" : "Lino", "given" : "Kevin", "non-dropping-particle" : "", "parse-names" : false, "suffix" : "" }, { "dropping-particle" : "", "family" : "Zamzow", "given" : "Jill", "non-dropping-particle" : "", "parse-names" : false, "suffix" : "" }, { "dropping-particle" : "", "family" : "Williams", "given" : "Ivor D.", "non-dropping-particle" : "", "parse-names" : false, "suffix" : "" } ], "id" : "ITEM-1", "issued" : { "date-parts" : [ [ "2015" ] ] }, "number-of-pages" : "101", "title" : "Pacific Reef Assessment and Monitoring Program - Data Report - Ecological Monitoring 2014 - stationary point count surveys of the Northwestern Hawaiian Islands, Mariana Islands, and Wake Atoll", "type" : "report" }, "uris" : [ "http://www.mendeley.com/documents/?uuid=781afe11-6418-4cc2-8694-194e0153b2a2" ] }, { "id" : "ITEM-2", "itemData" : { "author" : [ { "dropping-particle" : "", "family" : "Heenan", "given" : "Adel", "non-dropping-particle" : "", "parse-names" : false, "suffix" : "" }, { "dropping-particle" : "", "family" : "Ayotte", "given" : "Paula", "non-dropping-particle" : "", "parse-names" : false, "suffix" : "" }, { "dropping-particle" : "", "family" : "Gray", "given" : "Andrew", "non-dropping-particle" : "", "parse-names" : false, "suffix" : "" }, { "dropping-particle" : "", "family" : "Lino", "given" : "Kevin", "non-dropping-particle" : "", "parse-names" : false, "suffix" : "" }, { "dropping-particle" : "", "family" : "McCoy", "given" : "Kaylyn", "non-dropping-particle" : "", "parse-names" : false, "suffix" : "" }, { "dropping-particle" : "", "family" : "Zamzow", "given" : "Jill", "non-dropping-particle" : "", "parse-names" : false, "suffix" : "" }, { "dropping-particle" : "", "family" : "Williams", "given" : "Ivor D.", "non-dropping-particle" : "", "parse-names" : false, "suffix" : "" } ], "id" : "ITEM-2", "issue" : "April", "issued" : { "date-parts" : [ [ "2014" ] ] }, "title" : "Pacific Reef Assessment and Monitoring Program - Data Report - Ecological Monitoring 2012-2013 - reef fishes and benthic habitats of the main Hawaiian Islands , American Samoa , and Pacific Remote Island Areas", "type" : "report" }, "uris" : [ "http://www.mendeley.com/documents/?uuid=7b19406b-81c2-4e24-b821-83edf71fd661" ] } ], "mendeley" : { "formattedCitation" : "(Heenan et al., 2014, 2015)", "plainTextFormattedCitation" : "(Heenan et al., 2014, 2015)" }, "properties" : { "noteIndex" : 0 }, "schema" : "https://github.com/citation-style-language/schema/raw/master/csl-citation.json" }</w:instrText>
      </w:r>
      <w:r>
        <w:fldChar w:fldCharType="separate"/>
      </w:r>
      <w:r w:rsidRPr="00DC7DEF">
        <w:rPr>
          <w:noProof/>
        </w:rPr>
        <w:t>(Heenan et al., 2014, 2015)</w:t>
      </w:r>
      <w:r>
        <w:fldChar w:fldCharType="end"/>
      </w:r>
      <w:r>
        <w:t>.</w:t>
      </w:r>
    </w:p>
    <w:p w14:paraId="43D130C7" w14:textId="77777777" w:rsidR="00C57890" w:rsidRDefault="00C57890" w:rsidP="00102B2F">
      <w:pPr>
        <w:jc w:val="both"/>
      </w:pPr>
    </w:p>
    <w:p w14:paraId="1586FF67" w14:textId="66E5BD8D" w:rsidR="007A2B6B" w:rsidRPr="00C57890" w:rsidRDefault="00C657A7" w:rsidP="00C57890">
      <w:pPr>
        <w:pStyle w:val="Heading3"/>
      </w:pPr>
      <w:r>
        <w:t>Pooling survey data to strata and higher levels</w:t>
      </w:r>
    </w:p>
    <w:p w14:paraId="1C2E18EE" w14:textId="23C8C3AB" w:rsidR="007A2B6B" w:rsidRDefault="007A2B6B" w:rsidP="00BC446D">
      <w:pPr>
        <w:jc w:val="both"/>
      </w:pPr>
      <w:r w:rsidRPr="00723C1C">
        <w:t xml:space="preserve">Summary statistics (e.g., mean and variances) of survey quantities, e.g., biomass, are calculated </w:t>
      </w:r>
      <w:r w:rsidR="00C57890">
        <w:t>from the surveys</w:t>
      </w:r>
      <w:r w:rsidRPr="00723C1C">
        <w:t xml:space="preserve"> within each </w:t>
      </w:r>
      <w:r w:rsidR="00C57890">
        <w:t>stratum. To pool those up into larger units (e.g. ‘island’), CRED typically uses the approach</w:t>
      </w:r>
      <w:r w:rsidRPr="00723C1C">
        <w:t xml:space="preserve"> </w:t>
      </w:r>
      <w:r w:rsidR="00C57890">
        <w:t>described by</w:t>
      </w:r>
      <w:r w:rsidR="00C57890">
        <w:t xml:space="preserve"> </w:t>
      </w:r>
      <w:r w:rsidR="00C57890">
        <w:fldChar w:fldCharType="begin" w:fldLock="1"/>
      </w:r>
      <w:r w:rsidR="00C57890">
        <w:instrText>ADDIN CSL_CITATION { "citationItems" : [ { "id" : "ITEM-1", "itemData" : { "DOI" : "10.1016/j.fishres.2011.01.012", "ISBN" : "0165-7836", "abstract" : "Principles of statistical sampling design were used to guide refinement of a 30-year multispecies fishery-independent diver visual survey of population abundance and size structure of more than 250 exploited and non-target fishes in the Florida coral reef ecosystem. Reef habitat features and no-take marine reserves (NTMRs) were used to partition the 885 km(2) sampling domain into sub-areas (or strata) to control the variation of fish density. For the period 1999-2008, survey precision of population density and abundance (CV, coefficient of variation, ratio of standard error to mean) ranged from 7% to 20% for the majority of 13 primary exploited species in the Florida Keys and Dry Tortugas regions. Population sustainability metrics like species average length in the exploited life stage were comparable between our fishery-independent survey and fishery-dependent catch-sampling. The survey design also performed well for non-target fishes, yielding CVs between 6% and 15% for population density for the majority of 36 species. Sampling efficiency was improved over time via an iterative learning process by which past survey data was used to refine the stratification and allocation schemes of future surveys. We show how survey data are used to support multispecies stock assessments, evaluate the effectiveness of NTMRs, and assess ecosystem condition for the reef fish community. (C) 2011 Elsevier B.V. All rights reserved.", "author" : [ { "dropping-particle" : "", "family" : "Smith", "given" : "S G", "non-dropping-particle" : "", "parse-names" : false, "suffix" : "" }, { "dropping-particle" : "", "family" : "Ault", "given" : "J S", "non-dropping-particle" : "", "parse-names" : false, "suffix" : "" }, { "dropping-particle" : "", "family" : "Bohnsack", "given" : "J A", "non-dropping-particle" : "", "parse-names" : false, "suffix" : "" }, { "dropping-particle" : "", "family" : "Harper", "given" : "D E", "non-dropping-particle" : "", "parse-names" : false, "suffix" : "" }, { "dropping-particle" : "", "family" : "Luo", "given" : "J G", "non-dropping-particle" : "", "parse-names" : false, "suffix" : "" }, { "dropping-particle" : "", "family" : "McClellan", "given" : "D B", "non-dropping-particle" : "", "parse-names" : false, "suffix" : "" } ], "container-title" : "Fisheries Research", "id" : "ITEM-1", "issue" : "1", "issued" : { "date-parts" : [ [ "2011" ] ] }, "page" : "25-41", "title" : "Multispecies survey design for assessing reef-fish stocks, spatially explicit management performance, and ecosystem condition", "type" : "article-journal", "volume" : "109" }, "uris" : [ "http://www.mendeley.com/documents/?uuid=0bfcc496-1bde-4e35-8c56-287a409b4a2b" ] } ], "mendeley" : { "formattedCitation" : "(Smith et al., 2011)", "plainTextFormattedCitation" : "(Smith et al., 2011)", "previouslyFormattedCitation" : "(Smith et al., 2011)" }, "properties" : { "noteIndex" : 0 }, "schema" : "https://github.com/citation-style-language/schema/raw/master/csl-citation.json" }</w:instrText>
      </w:r>
      <w:r w:rsidR="00C57890">
        <w:fldChar w:fldCharType="separate"/>
      </w:r>
      <w:r w:rsidR="00C57890" w:rsidRPr="007D3872">
        <w:rPr>
          <w:noProof/>
        </w:rPr>
        <w:t>(Smith et al., 2011)</w:t>
      </w:r>
      <w:r w:rsidR="00C57890">
        <w:fldChar w:fldCharType="end"/>
      </w:r>
      <w:r w:rsidR="00C57890">
        <w:t xml:space="preserve"> which weights each stratum by its relative size (</w:t>
      </w:r>
      <w:r w:rsidR="00C57890" w:rsidRPr="00723C1C">
        <w:t>i.e., if a stratum is 50% of the total area in an island then is weighting factor will be 0.5, and total of all weighting factors sums to 1</w:t>
      </w:r>
      <w:r w:rsidR="00C57890">
        <w:t>).</w:t>
      </w:r>
      <w:r w:rsidRPr="00723C1C">
        <w:t xml:space="preserve"> </w:t>
      </w:r>
      <w:r w:rsidR="00C57890">
        <w:t>P</w:t>
      </w:r>
      <w:r w:rsidR="00C657A7">
        <w:t xml:space="preserve">er strata mean and variance values are </w:t>
      </w:r>
      <w:r w:rsidRPr="00723C1C">
        <w:t>aggregate</w:t>
      </w:r>
      <w:r w:rsidR="00C657A7">
        <w:t>d to higher level (</w:t>
      </w:r>
      <w:proofErr w:type="spellStart"/>
      <w:r w:rsidR="00C657A7">
        <w:t>eg</w:t>
      </w:r>
      <w:proofErr w:type="spellEnd"/>
      <w:r w:rsidR="00C657A7">
        <w:t xml:space="preserve"> to island scale)</w:t>
      </w:r>
      <w:r w:rsidRPr="00723C1C">
        <w:t xml:space="preserve"> using the formulas below:</w:t>
      </w:r>
    </w:p>
    <w:p w14:paraId="68072A85" w14:textId="77777777" w:rsidR="00C57890" w:rsidRPr="006A7103" w:rsidRDefault="00C57890" w:rsidP="00BC446D">
      <w:pPr>
        <w:jc w:val="both"/>
        <w:rPr>
          <w:sz w:val="16"/>
          <w:szCs w:val="16"/>
        </w:rPr>
      </w:pPr>
    </w:p>
    <w:p w14:paraId="3A344174" w14:textId="75F72161" w:rsidR="007A2B6B" w:rsidRPr="00723C1C" w:rsidRDefault="007A2B6B" w:rsidP="00BC446D">
      <w:pPr>
        <w:jc w:val="both"/>
      </w:pPr>
      <w:r w:rsidRPr="00723C1C">
        <w:t xml:space="preserve">(1) </w:t>
      </w:r>
      <w:proofErr w:type="gramStart"/>
      <w:r w:rsidRPr="00723C1C">
        <w:t>pooled</w:t>
      </w:r>
      <w:proofErr w:type="gramEnd"/>
      <w:r w:rsidRPr="00723C1C">
        <w:t xml:space="preserve"> mean biomass (</w:t>
      </w:r>
      <w:r w:rsidRPr="00723C1C">
        <w:rPr>
          <w:i/>
        </w:rPr>
        <w:t>X)</w:t>
      </w:r>
      <w:r w:rsidRPr="00723C1C">
        <w:t xml:space="preserve"> across S strata:  </w:t>
      </w:r>
      <w:r w:rsidRPr="00723C1C">
        <w:tab/>
      </w:r>
      <m:oMath>
        <m:r>
          <w:rPr>
            <w:rFonts w:ascii="Cambria Math" w:hAnsi="Cambria Math"/>
          </w:rPr>
          <m:t>X</m:t>
        </m:r>
        <m:r>
          <w:rPr>
            <w:rFonts w:ascii="Cambria Math"/>
          </w:rPr>
          <m:t xml:space="preserve">= </m:t>
        </m:r>
        <m:nary>
          <m:naryPr>
            <m:chr m:val="∑"/>
            <m:limLoc m:val="undOvr"/>
            <m:ctrlPr>
              <w:rPr>
                <w:rFonts w:ascii="Cambria Math" w:hAnsi="Cambria Math"/>
                <w:i/>
              </w:rPr>
            </m:ctrlPr>
          </m:naryPr>
          <m:sub>
            <m:r>
              <w:rPr>
                <w:rFonts w:ascii="Cambria Math"/>
              </w:rPr>
              <m:t>1</m:t>
            </m:r>
          </m:sub>
          <m:sup>
            <m:r>
              <w:rPr>
                <w:rFonts w:ascii="Cambria Math" w:hAnsi="Cambria Math"/>
              </w:rPr>
              <m:t>S</m:t>
            </m:r>
          </m:sup>
          <m:e>
            <m:sSub>
              <m:sSubPr>
                <m:ctrlPr>
                  <w:rPr>
                    <w:rFonts w:ascii="Cambria Math" w:hAnsi="Cambria Math"/>
                    <w:i/>
                  </w:rPr>
                </m:ctrlPr>
              </m:sSubPr>
              <m:e>
                <m:r>
                  <w:rPr>
                    <w:rFonts w:ascii="Cambria Math"/>
                  </w:rPr>
                  <m:t>(</m:t>
                </m:r>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e>
        </m:nary>
        <m:r>
          <w:rPr>
            <w:rFonts w:ascii="Cambria Math"/>
          </w:rPr>
          <m:t>)</m:t>
        </m:r>
      </m:oMath>
      <w:r w:rsidRPr="00797EED">
        <w:t xml:space="preserve"> </w:t>
      </w:r>
      <w:r w:rsidRPr="00723C1C">
        <w:t xml:space="preserve">and; </w:t>
      </w:r>
    </w:p>
    <w:p w14:paraId="01BFD935" w14:textId="77777777" w:rsidR="007A2B6B" w:rsidRPr="00723C1C" w:rsidRDefault="007A2B6B" w:rsidP="00BC446D">
      <w:pPr>
        <w:jc w:val="both"/>
      </w:pPr>
      <w:r w:rsidRPr="00723C1C">
        <w:t xml:space="preserve">(2) </w:t>
      </w:r>
      <w:proofErr w:type="gramStart"/>
      <w:r w:rsidRPr="00723C1C">
        <w:t>pooled</w:t>
      </w:r>
      <w:proofErr w:type="gramEnd"/>
      <w:r w:rsidRPr="00723C1C">
        <w:t xml:space="preserve"> variance of mean biomass (</w:t>
      </w:r>
      <w:r w:rsidRPr="00723C1C">
        <w:rPr>
          <w:i/>
        </w:rPr>
        <w:t>VAR)</w:t>
      </w:r>
      <w:r w:rsidRPr="00723C1C">
        <w:t xml:space="preserve"> across S strata:  </w:t>
      </w:r>
      <m:oMath>
        <m:r>
          <w:rPr>
            <w:rFonts w:ascii="Cambria Math" w:hAnsi="Cambria Math"/>
          </w:rPr>
          <m:t>VAR</m:t>
        </m:r>
        <m:r>
          <w:rPr>
            <w:rFonts w:ascii="Cambria Math"/>
          </w:rPr>
          <m:t xml:space="preserve">= </m:t>
        </m:r>
        <m:nary>
          <m:naryPr>
            <m:chr m:val="∑"/>
            <m:limLoc m:val="undOvr"/>
            <m:ctrlPr>
              <w:rPr>
                <w:rFonts w:ascii="Cambria Math" w:hAnsi="Cambria Math"/>
                <w:i/>
              </w:rPr>
            </m:ctrlPr>
          </m:naryPr>
          <m:sub>
            <m:r>
              <w:rPr>
                <w:rFonts w:ascii="Cambria Math"/>
              </w:rPr>
              <m:t>1</m:t>
            </m:r>
          </m:sub>
          <m:sup>
            <m:r>
              <w:rPr>
                <w:rFonts w:ascii="Cambria Math" w:hAnsi="Cambria Math"/>
              </w:rPr>
              <m:t>S</m:t>
            </m:r>
          </m:sup>
          <m:e>
            <m:sSub>
              <m:sSubPr>
                <m:ctrlPr>
                  <w:rPr>
                    <w:rFonts w:ascii="Cambria Math" w:hAnsi="Cambria Math"/>
                    <w:i/>
                  </w:rPr>
                </m:ctrlPr>
              </m:sSubPr>
              <m:e>
                <m:r>
                  <w:rPr>
                    <w:rFonts w:ascii="Cambria Math"/>
                  </w:rPr>
                  <m:t>(</m:t>
                </m:r>
                <m:r>
                  <w:rPr>
                    <w:rFonts w:ascii="Cambria Math" w:hAnsi="Cambria Math"/>
                  </w:rPr>
                  <m:t>VAR</m:t>
                </m:r>
              </m:e>
              <m:sub>
                <m:r>
                  <w:rPr>
                    <w:rFonts w:ascii="Cambria Math" w:hAnsi="Cambria Math"/>
                  </w:rPr>
                  <m:t>i</m:t>
                </m:r>
              </m:sub>
            </m:sSub>
            <m:r>
              <w:rPr>
                <w:rFonts w:ascii="Cambria Math" w:hAnsi="Cambria Math"/>
              </w:rPr>
              <m:t>*</m:t>
            </m:r>
            <m:r>
              <w:rPr>
                <w:rFonts w:ascii="Cambria Math"/>
              </w:rPr>
              <m:t xml:space="preserve"> </m:t>
            </m:r>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rPr>
                  <m:t>2</m:t>
                </m:r>
              </m:sup>
            </m:sSubSup>
          </m:e>
        </m:nary>
        <m:r>
          <w:rPr>
            <w:rFonts w:ascii="Cambria Math"/>
          </w:rPr>
          <m:t>)</m:t>
        </m:r>
      </m:oMath>
    </w:p>
    <w:p w14:paraId="37FC8678" w14:textId="77777777" w:rsidR="007A2B6B" w:rsidRPr="006A7103" w:rsidRDefault="007A2B6B" w:rsidP="00BC446D">
      <w:pPr>
        <w:jc w:val="both"/>
        <w:rPr>
          <w:sz w:val="16"/>
          <w:szCs w:val="16"/>
        </w:rPr>
      </w:pPr>
    </w:p>
    <w:p w14:paraId="4DAA81CD" w14:textId="6E2EAD7A" w:rsidR="00925ABB" w:rsidRDefault="007A2B6B" w:rsidP="00102B2F">
      <w:pPr>
        <w:jc w:val="both"/>
      </w:pPr>
      <w:proofErr w:type="gramStart"/>
      <w:r w:rsidRPr="00723C1C">
        <w:t>where</w:t>
      </w:r>
      <w:proofErr w:type="gramEnd"/>
      <w:r w:rsidRPr="00723C1C">
        <w:t xml:space="preserve"> </w:t>
      </w:r>
      <w:r w:rsidRPr="00723C1C">
        <w:rPr>
          <w:i/>
        </w:rPr>
        <w:t>X</w:t>
      </w:r>
      <w:r w:rsidRPr="00723C1C">
        <w:rPr>
          <w:i/>
          <w:vertAlign w:val="subscript"/>
        </w:rPr>
        <w:t>i</w:t>
      </w:r>
      <w:r w:rsidRPr="00723C1C">
        <w:t xml:space="preserve"> is the estimate of mean biomass within stratum </w:t>
      </w:r>
      <w:proofErr w:type="spellStart"/>
      <w:r w:rsidRPr="00723C1C">
        <w:rPr>
          <w:i/>
        </w:rPr>
        <w:t>i</w:t>
      </w:r>
      <w:proofErr w:type="spellEnd"/>
      <w:r w:rsidRPr="00723C1C">
        <w:t xml:space="preserve">, </w:t>
      </w:r>
      <w:proofErr w:type="spellStart"/>
      <w:r w:rsidRPr="00723C1C">
        <w:rPr>
          <w:i/>
        </w:rPr>
        <w:t>VAR</w:t>
      </w:r>
      <w:r w:rsidRPr="00723C1C">
        <w:rPr>
          <w:i/>
          <w:vertAlign w:val="subscript"/>
        </w:rPr>
        <w:t>i</w:t>
      </w:r>
      <w:proofErr w:type="spellEnd"/>
      <w:r w:rsidRPr="00723C1C">
        <w:t xml:space="preserve"> is the estimated variance of </w:t>
      </w:r>
      <w:r w:rsidRPr="00723C1C">
        <w:rPr>
          <w:i/>
        </w:rPr>
        <w:t>X</w:t>
      </w:r>
      <w:r w:rsidRPr="00723C1C">
        <w:rPr>
          <w:i/>
          <w:vertAlign w:val="subscript"/>
        </w:rPr>
        <w:t>i</w:t>
      </w:r>
      <w:r w:rsidRPr="00723C1C">
        <w:t xml:space="preserve"> and </w:t>
      </w:r>
      <w:proofErr w:type="spellStart"/>
      <w:r w:rsidRPr="00723C1C">
        <w:rPr>
          <w:i/>
        </w:rPr>
        <w:t>w</w:t>
      </w:r>
      <w:r w:rsidRPr="00723C1C">
        <w:rPr>
          <w:i/>
          <w:vertAlign w:val="subscript"/>
        </w:rPr>
        <w:t>i</w:t>
      </w:r>
      <w:proofErr w:type="spellEnd"/>
      <w:r w:rsidRPr="00723C1C">
        <w:t xml:space="preserve"> is the stratum-weighting factor. </w:t>
      </w:r>
    </w:p>
    <w:p w14:paraId="7629A9ED" w14:textId="5BA97FD3" w:rsidR="00102B2F" w:rsidRPr="00102B2F" w:rsidRDefault="00102B2F" w:rsidP="00C57890">
      <w:pPr>
        <w:pStyle w:val="Heading2"/>
      </w:pPr>
      <w:r w:rsidRPr="00102B2F">
        <w:t>References</w:t>
      </w:r>
    </w:p>
    <w:p w14:paraId="2E6A5731" w14:textId="72D0B92B" w:rsidR="00DC7DEF" w:rsidRPr="00C57890" w:rsidRDefault="007D3872" w:rsidP="00C57890">
      <w:pPr>
        <w:pStyle w:val="NormalWeb"/>
        <w:spacing w:before="0" w:beforeAutospacing="0" w:after="0" w:afterAutospacing="0"/>
        <w:ind w:left="475" w:hanging="475"/>
        <w:divId w:val="2136672741"/>
        <w:rPr>
          <w:rFonts w:ascii="Cambria" w:hAnsi="Cambria"/>
          <w:noProof/>
        </w:rPr>
      </w:pPr>
      <w:r w:rsidRPr="00C57890">
        <w:fldChar w:fldCharType="begin" w:fldLock="1"/>
      </w:r>
      <w:r w:rsidRPr="00C57890">
        <w:instrText xml:space="preserve">ADDIN Mendeley Bibliography CSL_BIBLIOGRAPHY </w:instrText>
      </w:r>
      <w:r w:rsidRPr="00C57890">
        <w:fldChar w:fldCharType="separate"/>
      </w:r>
      <w:r w:rsidR="00DC7DEF" w:rsidRPr="00C57890">
        <w:rPr>
          <w:rFonts w:ascii="Cambria" w:hAnsi="Cambria"/>
          <w:noProof/>
        </w:rPr>
        <w:t xml:space="preserve">Ayotte, P. M., McCoy, K. S., Williams, I. D., &amp; Zamzow, J. P. (2011). </w:t>
      </w:r>
      <w:r w:rsidR="00DC7DEF" w:rsidRPr="00C57890">
        <w:rPr>
          <w:rFonts w:ascii="Cambria" w:hAnsi="Cambria"/>
          <w:i/>
          <w:iCs/>
          <w:noProof/>
        </w:rPr>
        <w:t>Coral Reef Ecosystem Division standard operating procedures: data collection for Rapid Ecological Assessment fish surveys.</w:t>
      </w:r>
      <w:r w:rsidR="00DC7DEF" w:rsidRPr="00C57890">
        <w:rPr>
          <w:rFonts w:ascii="Cambria" w:hAnsi="Cambria"/>
          <w:noProof/>
        </w:rPr>
        <w:t xml:space="preserve"> (Vol. Administra). Pacific Islands Fisheries Science Center PIFSC Admin Report 11-08. Retrieved from http://www.pifsc.noaa.gov/library/pubs/admin/PIFSC_Admin_Rep_11-08.pdf</w:t>
      </w:r>
    </w:p>
    <w:p w14:paraId="409FADE2" w14:textId="77777777" w:rsidR="00DC7DEF" w:rsidRPr="00C57890" w:rsidRDefault="00DC7DEF" w:rsidP="00C57890">
      <w:pPr>
        <w:pStyle w:val="NormalWeb"/>
        <w:spacing w:before="0" w:beforeAutospacing="0" w:after="0" w:afterAutospacing="0"/>
        <w:ind w:left="480" w:hanging="480"/>
        <w:divId w:val="2136672741"/>
        <w:rPr>
          <w:rFonts w:ascii="Cambria" w:hAnsi="Cambria"/>
          <w:noProof/>
        </w:rPr>
      </w:pPr>
      <w:r w:rsidRPr="00C57890">
        <w:rPr>
          <w:rFonts w:ascii="Cambria" w:hAnsi="Cambria"/>
          <w:noProof/>
        </w:rPr>
        <w:t xml:space="preserve">Brainard, R., Caldow, C., Eakin, M., Gittings, S., Gledhill, D., Hill, R., … Williams, I. (2014). </w:t>
      </w:r>
      <w:r w:rsidRPr="00C57890">
        <w:rPr>
          <w:rFonts w:ascii="Cambria" w:hAnsi="Cambria"/>
          <w:i/>
          <w:iCs/>
          <w:noProof/>
        </w:rPr>
        <w:t>NOAA Coral Reef Conservation Program. National Coral Reef Monitoring Program</w:t>
      </w:r>
      <w:r w:rsidRPr="00C57890">
        <w:rPr>
          <w:rFonts w:ascii="Cambria" w:hAnsi="Cambria"/>
          <w:noProof/>
        </w:rPr>
        <w:t>. Silver Spring, MD. Retrieved from http://docs.lib.noaa.gov/noaa_documents/NOS/CRCP/noaa_crcp_national_coral_reef_monitoring_plan_2014.pdf</w:t>
      </w:r>
    </w:p>
    <w:p w14:paraId="48DE8657" w14:textId="77777777" w:rsidR="00DC7DEF" w:rsidRPr="00C57890" w:rsidRDefault="00DC7DEF" w:rsidP="00C57890">
      <w:pPr>
        <w:pStyle w:val="NormalWeb"/>
        <w:spacing w:before="0" w:beforeAutospacing="0" w:after="0" w:afterAutospacing="0"/>
        <w:ind w:left="480" w:hanging="480"/>
        <w:divId w:val="2136672741"/>
        <w:rPr>
          <w:rFonts w:ascii="Cambria" w:hAnsi="Cambria"/>
          <w:noProof/>
        </w:rPr>
      </w:pPr>
      <w:r w:rsidRPr="00C57890">
        <w:rPr>
          <w:rFonts w:ascii="Cambria" w:hAnsi="Cambria"/>
          <w:noProof/>
        </w:rPr>
        <w:t xml:space="preserve">Heenan, A., Ayotte, P., Gray, A., Lino, K., McCoy, K., Zamzow, J., &amp; Williams, I. D. (2014). </w:t>
      </w:r>
      <w:r w:rsidRPr="00C57890">
        <w:rPr>
          <w:rFonts w:ascii="Cambria" w:hAnsi="Cambria"/>
          <w:i/>
          <w:iCs/>
          <w:noProof/>
        </w:rPr>
        <w:t>Pacific Reef Assessment and Monitoring Program - Data Report - Ecological Monitoring 2012-2013 - reef fishes and benthic habitats of the main Hawaiian Islands , American Samoa , and Pacific Remote Island Areas</w:t>
      </w:r>
      <w:r w:rsidRPr="00C57890">
        <w:rPr>
          <w:rFonts w:ascii="Cambria" w:hAnsi="Cambria"/>
          <w:noProof/>
        </w:rPr>
        <w:t>.</w:t>
      </w:r>
    </w:p>
    <w:p w14:paraId="1BD4817D" w14:textId="77777777" w:rsidR="00DC7DEF" w:rsidRPr="00C57890" w:rsidRDefault="00DC7DEF" w:rsidP="00C57890">
      <w:pPr>
        <w:pStyle w:val="NormalWeb"/>
        <w:spacing w:before="0" w:beforeAutospacing="0" w:after="0" w:afterAutospacing="0"/>
        <w:ind w:left="480" w:hanging="480"/>
        <w:divId w:val="2136672741"/>
        <w:rPr>
          <w:rFonts w:ascii="Cambria" w:hAnsi="Cambria"/>
          <w:noProof/>
        </w:rPr>
      </w:pPr>
      <w:r w:rsidRPr="00C57890">
        <w:rPr>
          <w:rFonts w:ascii="Cambria" w:hAnsi="Cambria"/>
          <w:noProof/>
        </w:rPr>
        <w:t xml:space="preserve">Heenan, A., McCoy, K. S., Asher, J., Ayotte, P., Gorospe, K., Gray, A., … Williams, I. D. (2015). </w:t>
      </w:r>
      <w:r w:rsidRPr="00C57890">
        <w:rPr>
          <w:rFonts w:ascii="Cambria" w:hAnsi="Cambria"/>
          <w:i/>
          <w:iCs/>
          <w:noProof/>
        </w:rPr>
        <w:t>Pacific Reef Assessment and Monitoring Program - Data Report - Ecological Monitoring 2014 - stationary point count surveys of the Northwestern Hawaiian Islands, Mariana Islands, and Wake Atoll</w:t>
      </w:r>
      <w:r w:rsidRPr="00C57890">
        <w:rPr>
          <w:rFonts w:ascii="Cambria" w:hAnsi="Cambria"/>
          <w:noProof/>
        </w:rPr>
        <w:t>.</w:t>
      </w:r>
    </w:p>
    <w:p w14:paraId="42784FA2" w14:textId="77777777" w:rsidR="00DC7DEF" w:rsidRPr="00C57890" w:rsidRDefault="00DC7DEF" w:rsidP="00C57890">
      <w:pPr>
        <w:pStyle w:val="NormalWeb"/>
        <w:spacing w:before="0" w:beforeAutospacing="0" w:after="0" w:afterAutospacing="0"/>
        <w:ind w:left="480" w:hanging="480"/>
        <w:divId w:val="2136672741"/>
        <w:rPr>
          <w:rFonts w:ascii="Cambria" w:hAnsi="Cambria"/>
          <w:noProof/>
        </w:rPr>
      </w:pPr>
      <w:r w:rsidRPr="00C57890">
        <w:rPr>
          <w:rFonts w:ascii="Cambria" w:hAnsi="Cambria"/>
          <w:noProof/>
        </w:rPr>
        <w:t xml:space="preserve">Kendall, M., &amp; Poti, M. (2011). </w:t>
      </w:r>
      <w:r w:rsidRPr="00C57890">
        <w:rPr>
          <w:rFonts w:ascii="Cambria" w:hAnsi="Cambria"/>
          <w:i/>
          <w:iCs/>
          <w:noProof/>
        </w:rPr>
        <w:t>A biogeographic assessment of the Samoan Archipelago</w:t>
      </w:r>
      <w:r w:rsidRPr="00C57890">
        <w:rPr>
          <w:rFonts w:ascii="Cambria" w:hAnsi="Cambria"/>
          <w:noProof/>
        </w:rPr>
        <w:t xml:space="preserve">. </w:t>
      </w:r>
      <w:r w:rsidRPr="00C57890">
        <w:rPr>
          <w:rFonts w:ascii="Cambria" w:hAnsi="Cambria"/>
          <w:i/>
          <w:iCs/>
          <w:noProof/>
        </w:rPr>
        <w:t>NOAA Tech Memo NOS NCCOS</w:t>
      </w:r>
      <w:r w:rsidRPr="00C57890">
        <w:rPr>
          <w:rFonts w:ascii="Cambria" w:hAnsi="Cambria"/>
          <w:noProof/>
        </w:rPr>
        <w:t>. Silver Spring, MD.</w:t>
      </w:r>
    </w:p>
    <w:p w14:paraId="1C93CEAC" w14:textId="77777777" w:rsidR="00DC7DEF" w:rsidRPr="00C57890" w:rsidRDefault="00DC7DEF" w:rsidP="00C57890">
      <w:pPr>
        <w:pStyle w:val="NormalWeb"/>
        <w:spacing w:before="0" w:beforeAutospacing="0" w:after="0" w:afterAutospacing="0"/>
        <w:ind w:left="480" w:hanging="480"/>
        <w:divId w:val="2136672741"/>
        <w:rPr>
          <w:rFonts w:ascii="Cambria" w:hAnsi="Cambria"/>
          <w:noProof/>
        </w:rPr>
      </w:pPr>
      <w:r w:rsidRPr="00C57890">
        <w:rPr>
          <w:rFonts w:ascii="Cambria" w:hAnsi="Cambria"/>
          <w:noProof/>
        </w:rPr>
        <w:t xml:space="preserve">Smith, S. G., Ault, J. S., Bohnsack, J. A., Harper, D. E., Luo, J. G., &amp; McClellan, D. B. (2011). Multispecies survey design for assessing reef-fish stocks, spatially explicit management performance, and ecosystem condition. </w:t>
      </w:r>
      <w:r w:rsidRPr="00C57890">
        <w:rPr>
          <w:rFonts w:ascii="Cambria" w:hAnsi="Cambria"/>
          <w:i/>
          <w:iCs/>
          <w:noProof/>
        </w:rPr>
        <w:t>Fisheries Research</w:t>
      </w:r>
      <w:r w:rsidRPr="00C57890">
        <w:rPr>
          <w:rFonts w:ascii="Cambria" w:hAnsi="Cambria"/>
          <w:noProof/>
        </w:rPr>
        <w:t xml:space="preserve">, </w:t>
      </w:r>
      <w:r w:rsidRPr="00C57890">
        <w:rPr>
          <w:rFonts w:ascii="Cambria" w:hAnsi="Cambria"/>
          <w:i/>
          <w:iCs/>
          <w:noProof/>
        </w:rPr>
        <w:t>109</w:t>
      </w:r>
      <w:r w:rsidRPr="00C57890">
        <w:rPr>
          <w:rFonts w:ascii="Cambria" w:hAnsi="Cambria"/>
          <w:noProof/>
        </w:rPr>
        <w:t>(1), 25–41. doi:10.1016/j.fishres.2011.01.012</w:t>
      </w:r>
    </w:p>
    <w:p w14:paraId="3768D898" w14:textId="261DBC56" w:rsidR="00102B2F" w:rsidRDefault="00DC7DEF" w:rsidP="00C57890">
      <w:pPr>
        <w:pStyle w:val="NormalWeb"/>
        <w:spacing w:before="0" w:beforeAutospacing="0" w:after="0" w:afterAutospacing="0"/>
        <w:ind w:left="480" w:hanging="480"/>
        <w:divId w:val="1432697516"/>
      </w:pPr>
      <w:r w:rsidRPr="00C57890">
        <w:rPr>
          <w:rFonts w:ascii="Cambria" w:hAnsi="Cambria"/>
          <w:noProof/>
        </w:rPr>
        <w:t xml:space="preserve">Williams, I. D., Richards, B. L., Sandin, S. A., Baum, J. K., Schroeder, R. E., Nadon, M. O., … Brainard, R. E. (2011). Differences in reef fish assemblages between populated and remote reefs spanning multiple archipelagos across the Central and Western Pacific. </w:t>
      </w:r>
      <w:r w:rsidRPr="00C57890">
        <w:rPr>
          <w:rFonts w:ascii="Cambria" w:hAnsi="Cambria"/>
          <w:i/>
          <w:iCs/>
          <w:noProof/>
        </w:rPr>
        <w:t>Journal of Marine Biology</w:t>
      </w:r>
      <w:r w:rsidRPr="00C57890">
        <w:rPr>
          <w:rFonts w:ascii="Cambria" w:hAnsi="Cambria"/>
          <w:noProof/>
        </w:rPr>
        <w:t xml:space="preserve">, </w:t>
      </w:r>
      <w:r w:rsidRPr="00C57890">
        <w:rPr>
          <w:rFonts w:ascii="Cambria" w:hAnsi="Cambria"/>
          <w:i/>
          <w:iCs/>
          <w:noProof/>
        </w:rPr>
        <w:t>doi:10.115</w:t>
      </w:r>
      <w:r w:rsidRPr="00C57890">
        <w:rPr>
          <w:rFonts w:ascii="Cambria" w:hAnsi="Cambria"/>
          <w:noProof/>
        </w:rPr>
        <w:t>, 14.</w:t>
      </w:r>
      <w:r w:rsidR="007D3872" w:rsidRPr="00C57890">
        <w:fldChar w:fldCharType="end"/>
      </w:r>
      <w:r w:rsidR="006A7103">
        <w:t xml:space="preserve"> </w:t>
      </w:r>
    </w:p>
    <w:p w14:paraId="29054760" w14:textId="395F1604" w:rsidR="00C57890" w:rsidRPr="007A2B6B" w:rsidRDefault="00C57890" w:rsidP="00C57890">
      <w:pPr>
        <w:pStyle w:val="Heading1"/>
        <w:jc w:val="both"/>
        <w:divId w:val="1432697516"/>
      </w:pPr>
      <w:r>
        <w:t xml:space="preserve">Reef Fish Survey Data </w:t>
      </w:r>
      <w:r>
        <w:t xml:space="preserve">– </w:t>
      </w:r>
      <w:r>
        <w:t xml:space="preserve">Output </w:t>
      </w:r>
      <w:r>
        <w:t>Field Descriptions</w:t>
      </w:r>
    </w:p>
    <w:tbl>
      <w:tblPr>
        <w:tblStyle w:val="TableGrid"/>
        <w:tblW w:w="0" w:type="auto"/>
        <w:tblLook w:val="04A0" w:firstRow="1" w:lastRow="0" w:firstColumn="1" w:lastColumn="0" w:noHBand="0" w:noVBand="1"/>
      </w:tblPr>
      <w:tblGrid>
        <w:gridCol w:w="2088"/>
        <w:gridCol w:w="6768"/>
      </w:tblGrid>
      <w:tr w:rsidR="00C57890" w:rsidRPr="00022F5B" w14:paraId="7BCF78F0" w14:textId="77777777" w:rsidTr="00C57890">
        <w:trPr>
          <w:divId w:val="1432697516"/>
        </w:trPr>
        <w:tc>
          <w:tcPr>
            <w:tcW w:w="2088" w:type="dxa"/>
          </w:tcPr>
          <w:p w14:paraId="4A8FF701" w14:textId="77777777" w:rsidR="00C57890" w:rsidRPr="00022F5B" w:rsidRDefault="00C57890" w:rsidP="003241D3">
            <w:pPr>
              <w:rPr>
                <w:b/>
              </w:rPr>
            </w:pPr>
            <w:r w:rsidRPr="00022F5B">
              <w:rPr>
                <w:b/>
              </w:rPr>
              <w:t>DATA FIELD</w:t>
            </w:r>
          </w:p>
        </w:tc>
        <w:tc>
          <w:tcPr>
            <w:tcW w:w="6768" w:type="dxa"/>
          </w:tcPr>
          <w:p w14:paraId="1003C5FF" w14:textId="77777777" w:rsidR="00C57890" w:rsidRPr="00022F5B" w:rsidRDefault="00C57890" w:rsidP="003241D3">
            <w:pPr>
              <w:rPr>
                <w:b/>
              </w:rPr>
            </w:pPr>
            <w:r w:rsidRPr="00022F5B">
              <w:rPr>
                <w:b/>
              </w:rPr>
              <w:t>DESCRIPTION</w:t>
            </w:r>
          </w:p>
        </w:tc>
      </w:tr>
      <w:tr w:rsidR="00C57890" w:rsidRPr="00022F5B" w14:paraId="4EAE1528" w14:textId="77777777" w:rsidTr="00C57890">
        <w:trPr>
          <w:divId w:val="1432697516"/>
        </w:trPr>
        <w:tc>
          <w:tcPr>
            <w:tcW w:w="2088" w:type="dxa"/>
          </w:tcPr>
          <w:p w14:paraId="615F7CF5" w14:textId="77777777" w:rsidR="00C57890" w:rsidRPr="00022F5B" w:rsidRDefault="00C57890" w:rsidP="003241D3">
            <w:r w:rsidRPr="00022F5B">
              <w:t>SITEVISITID</w:t>
            </w:r>
          </w:p>
        </w:tc>
        <w:tc>
          <w:tcPr>
            <w:tcW w:w="6768" w:type="dxa"/>
          </w:tcPr>
          <w:p w14:paraId="2749A0E4" w14:textId="77777777" w:rsidR="00C57890" w:rsidRPr="00022F5B" w:rsidRDefault="00C57890" w:rsidP="003241D3">
            <w:r>
              <w:t xml:space="preserve">A </w:t>
            </w:r>
            <w:r w:rsidRPr="00022F5B">
              <w:t>unique identifier for a site-survey</w:t>
            </w:r>
          </w:p>
        </w:tc>
      </w:tr>
      <w:tr w:rsidR="00C57890" w:rsidRPr="00022F5B" w14:paraId="7E75B0F7" w14:textId="77777777" w:rsidTr="00C57890">
        <w:trPr>
          <w:divId w:val="1432697516"/>
        </w:trPr>
        <w:tc>
          <w:tcPr>
            <w:tcW w:w="2088" w:type="dxa"/>
          </w:tcPr>
          <w:p w14:paraId="076E8091" w14:textId="77777777" w:rsidR="00C57890" w:rsidRPr="00022F5B" w:rsidRDefault="00C57890" w:rsidP="003241D3">
            <w:r w:rsidRPr="00022F5B">
              <w:t>METHOD</w:t>
            </w:r>
          </w:p>
        </w:tc>
        <w:tc>
          <w:tcPr>
            <w:tcW w:w="6768" w:type="dxa"/>
          </w:tcPr>
          <w:p w14:paraId="3546F6C5" w14:textId="77777777" w:rsidR="00C57890" w:rsidRPr="00022F5B" w:rsidRDefault="00C57890" w:rsidP="003241D3">
            <w:r>
              <w:t>Fish survey method used. Is a</w:t>
            </w:r>
            <w:r w:rsidRPr="00022F5B">
              <w:t>lways “</w:t>
            </w:r>
            <w:proofErr w:type="spellStart"/>
            <w:r w:rsidRPr="00022F5B">
              <w:t>nSPC</w:t>
            </w:r>
            <w:proofErr w:type="spellEnd"/>
            <w:r w:rsidRPr="00022F5B">
              <w:t>” for data gathered using the current CRED stationary-point-count survey method</w:t>
            </w:r>
          </w:p>
        </w:tc>
      </w:tr>
      <w:tr w:rsidR="00C57890" w:rsidRPr="00022F5B" w14:paraId="23AF2CF9" w14:textId="77777777" w:rsidTr="00C57890">
        <w:trPr>
          <w:divId w:val="1432697516"/>
        </w:trPr>
        <w:tc>
          <w:tcPr>
            <w:tcW w:w="2088" w:type="dxa"/>
          </w:tcPr>
          <w:p w14:paraId="0412E5ED" w14:textId="77777777" w:rsidR="00C57890" w:rsidRPr="00022F5B" w:rsidRDefault="00C57890" w:rsidP="003241D3">
            <w:r w:rsidRPr="00022F5B">
              <w:t>OBS_YEAR</w:t>
            </w:r>
          </w:p>
        </w:tc>
        <w:tc>
          <w:tcPr>
            <w:tcW w:w="6768" w:type="dxa"/>
          </w:tcPr>
          <w:p w14:paraId="640B61AE" w14:textId="77777777" w:rsidR="00C57890" w:rsidRPr="00022F5B" w:rsidRDefault="00C57890" w:rsidP="003241D3">
            <w:r w:rsidRPr="00022F5B">
              <w:t>The year in which the survey was conducted</w:t>
            </w:r>
          </w:p>
        </w:tc>
      </w:tr>
      <w:tr w:rsidR="00C57890" w:rsidRPr="00022F5B" w14:paraId="26CA6DC4" w14:textId="77777777" w:rsidTr="00C57890">
        <w:trPr>
          <w:divId w:val="1432697516"/>
        </w:trPr>
        <w:tc>
          <w:tcPr>
            <w:tcW w:w="2088" w:type="dxa"/>
          </w:tcPr>
          <w:p w14:paraId="125D215B" w14:textId="77777777" w:rsidR="00C57890" w:rsidRPr="00022F5B" w:rsidRDefault="00C57890" w:rsidP="003241D3">
            <w:r w:rsidRPr="00022F5B">
              <w:t>REGION</w:t>
            </w:r>
          </w:p>
        </w:tc>
        <w:tc>
          <w:tcPr>
            <w:tcW w:w="6768" w:type="dxa"/>
          </w:tcPr>
          <w:p w14:paraId="19D54BD2" w14:textId="77777777" w:rsidR="00C57890" w:rsidRPr="00022F5B" w:rsidRDefault="00C57890" w:rsidP="003241D3">
            <w:r w:rsidRPr="00022F5B">
              <w:t xml:space="preserve"> </w:t>
            </w:r>
            <w:r>
              <w:t xml:space="preserve">Survey region – generally a spatially meaningful grouping, e.g. MHI are the populated Main Hawaiian Islands, NWHI are the unpopulated Northwestern Hawaiian Islands. For Mariana Archipelago islands, islands are grouped into </w:t>
            </w:r>
            <w:r w:rsidRPr="00022F5B">
              <w:t>“S.MARIAN” (</w:t>
            </w:r>
            <w:r>
              <w:t xml:space="preserve">the populated islands from </w:t>
            </w:r>
            <w:r w:rsidRPr="00022F5B">
              <w:t>Guam to Saipan)</w:t>
            </w:r>
            <w:r>
              <w:t xml:space="preserve">, and </w:t>
            </w:r>
            <w:r w:rsidRPr="00022F5B">
              <w:t>“N.MARIAN” (</w:t>
            </w:r>
            <w:r>
              <w:t xml:space="preserve">the unpopulated or very lightly populated islands from </w:t>
            </w:r>
            <w:proofErr w:type="spellStart"/>
            <w:r w:rsidRPr="00022F5B">
              <w:t>Sarigan</w:t>
            </w:r>
            <w:proofErr w:type="spellEnd"/>
            <w:r w:rsidRPr="00022F5B">
              <w:t xml:space="preserve"> to </w:t>
            </w:r>
            <w:proofErr w:type="spellStart"/>
            <w:r w:rsidRPr="00022F5B">
              <w:t>Farallon</w:t>
            </w:r>
            <w:proofErr w:type="spellEnd"/>
            <w:r w:rsidRPr="00022F5B">
              <w:t xml:space="preserve"> de </w:t>
            </w:r>
            <w:proofErr w:type="spellStart"/>
            <w:r w:rsidRPr="00022F5B">
              <w:t>Pajaros</w:t>
            </w:r>
            <w:proofErr w:type="spellEnd"/>
            <w:r w:rsidRPr="00022F5B">
              <w:t>)</w:t>
            </w:r>
          </w:p>
        </w:tc>
      </w:tr>
      <w:tr w:rsidR="00C57890" w:rsidRPr="00022F5B" w14:paraId="6F02F989" w14:textId="77777777" w:rsidTr="00C57890">
        <w:trPr>
          <w:divId w:val="1432697516"/>
        </w:trPr>
        <w:tc>
          <w:tcPr>
            <w:tcW w:w="2088" w:type="dxa"/>
          </w:tcPr>
          <w:p w14:paraId="3EE1ADB4" w14:textId="77777777" w:rsidR="00C57890" w:rsidRPr="00022F5B" w:rsidRDefault="00C57890" w:rsidP="003241D3">
            <w:r w:rsidRPr="00022F5B">
              <w:t>ISLAND</w:t>
            </w:r>
          </w:p>
        </w:tc>
        <w:tc>
          <w:tcPr>
            <w:tcW w:w="6768" w:type="dxa"/>
          </w:tcPr>
          <w:p w14:paraId="72D1A063" w14:textId="77777777" w:rsidR="00C57890" w:rsidRPr="00022F5B" w:rsidRDefault="00C57890" w:rsidP="003241D3">
            <w:r>
              <w:t>The i</w:t>
            </w:r>
            <w:r w:rsidRPr="00022F5B">
              <w:t>sland where survey was conducted</w:t>
            </w:r>
          </w:p>
        </w:tc>
      </w:tr>
      <w:tr w:rsidR="00C57890" w:rsidRPr="00022F5B" w14:paraId="4F6B9B6F" w14:textId="77777777" w:rsidTr="00C57890">
        <w:trPr>
          <w:divId w:val="1432697516"/>
        </w:trPr>
        <w:tc>
          <w:tcPr>
            <w:tcW w:w="2088" w:type="dxa"/>
          </w:tcPr>
          <w:p w14:paraId="602BFB79" w14:textId="77777777" w:rsidR="00C57890" w:rsidRPr="00022F5B" w:rsidRDefault="00C57890" w:rsidP="003241D3">
            <w:r w:rsidRPr="00022F5B">
              <w:t>SITE</w:t>
            </w:r>
          </w:p>
        </w:tc>
        <w:tc>
          <w:tcPr>
            <w:tcW w:w="6768" w:type="dxa"/>
          </w:tcPr>
          <w:p w14:paraId="125B30CB" w14:textId="77777777" w:rsidR="00C57890" w:rsidRPr="00022F5B" w:rsidRDefault="00C57890" w:rsidP="003241D3">
            <w:r>
              <w:t>A unique s</w:t>
            </w:r>
            <w:r w:rsidRPr="00022F5B">
              <w:t xml:space="preserve">urvey site code. First three letters are </w:t>
            </w:r>
            <w:r>
              <w:t xml:space="preserve">an </w:t>
            </w:r>
            <w:r w:rsidRPr="00022F5B">
              <w:t xml:space="preserve">island </w:t>
            </w:r>
            <w:proofErr w:type="gramStart"/>
            <w:r w:rsidRPr="00022F5B">
              <w:t>identifier,</w:t>
            </w:r>
            <w:proofErr w:type="gramEnd"/>
            <w:r w:rsidRPr="00022F5B">
              <w:t xml:space="preserve"> last 4 d</w:t>
            </w:r>
            <w:r>
              <w:t>igits are a numeric value to make each SITE code unique to a particular survey location.</w:t>
            </w:r>
          </w:p>
        </w:tc>
      </w:tr>
      <w:tr w:rsidR="00C57890" w:rsidRPr="00022F5B" w14:paraId="3CBDA0C4" w14:textId="77777777" w:rsidTr="00C57890">
        <w:trPr>
          <w:divId w:val="1432697516"/>
        </w:trPr>
        <w:tc>
          <w:tcPr>
            <w:tcW w:w="2088" w:type="dxa"/>
          </w:tcPr>
          <w:p w14:paraId="6E36DA4C" w14:textId="77777777" w:rsidR="00C57890" w:rsidRPr="00022F5B" w:rsidRDefault="00C57890" w:rsidP="003241D3">
            <w:r w:rsidRPr="00022F5B">
              <w:t>DATE_</w:t>
            </w:r>
          </w:p>
        </w:tc>
        <w:tc>
          <w:tcPr>
            <w:tcW w:w="6768" w:type="dxa"/>
          </w:tcPr>
          <w:p w14:paraId="496181CE" w14:textId="77777777" w:rsidR="00C57890" w:rsidRPr="00022F5B" w:rsidRDefault="00C57890" w:rsidP="003241D3">
            <w:r w:rsidRPr="00022F5B">
              <w:t>Date of the survey</w:t>
            </w:r>
          </w:p>
        </w:tc>
      </w:tr>
      <w:tr w:rsidR="00C57890" w:rsidRPr="00022F5B" w14:paraId="0485ADFE" w14:textId="77777777" w:rsidTr="00C57890">
        <w:trPr>
          <w:divId w:val="1432697516"/>
        </w:trPr>
        <w:tc>
          <w:tcPr>
            <w:tcW w:w="2088" w:type="dxa"/>
          </w:tcPr>
          <w:p w14:paraId="51CD4C61" w14:textId="77777777" w:rsidR="00C57890" w:rsidRPr="00022F5B" w:rsidRDefault="00C57890" w:rsidP="003241D3">
            <w:r w:rsidRPr="00022F5B">
              <w:t>REEF_ZONE</w:t>
            </w:r>
          </w:p>
        </w:tc>
        <w:tc>
          <w:tcPr>
            <w:tcW w:w="6768" w:type="dxa"/>
          </w:tcPr>
          <w:p w14:paraId="4BF80286" w14:textId="77777777" w:rsidR="00C57890" w:rsidRPr="00022F5B" w:rsidRDefault="00C57890" w:rsidP="003241D3">
            <w:r>
              <w:t>“</w:t>
            </w:r>
            <w:r w:rsidRPr="00022F5B">
              <w:t>Forereef", "</w:t>
            </w:r>
            <w:proofErr w:type="spellStart"/>
            <w:r w:rsidRPr="00022F5B">
              <w:t>Backreef</w:t>
            </w:r>
            <w:proofErr w:type="spellEnd"/>
            <w:r w:rsidRPr="00022F5B">
              <w:t>' or "Lagoon"</w:t>
            </w:r>
          </w:p>
        </w:tc>
      </w:tr>
      <w:tr w:rsidR="00C57890" w:rsidRPr="00022F5B" w14:paraId="6AD34CFF" w14:textId="77777777" w:rsidTr="00C57890">
        <w:trPr>
          <w:divId w:val="1432697516"/>
        </w:trPr>
        <w:tc>
          <w:tcPr>
            <w:tcW w:w="2088" w:type="dxa"/>
          </w:tcPr>
          <w:p w14:paraId="17709E8D" w14:textId="77777777" w:rsidR="00C57890" w:rsidRPr="00022F5B" w:rsidRDefault="00C57890" w:rsidP="003241D3">
            <w:r w:rsidRPr="00022F5B">
              <w:t>DEPTH_BIN</w:t>
            </w:r>
          </w:p>
        </w:tc>
        <w:tc>
          <w:tcPr>
            <w:tcW w:w="6768" w:type="dxa"/>
          </w:tcPr>
          <w:p w14:paraId="567F4051" w14:textId="77777777" w:rsidR="00C57890" w:rsidRPr="00022F5B" w:rsidRDefault="00C57890" w:rsidP="003241D3">
            <w:r>
              <w:t xml:space="preserve">Depth strata of the survey site: </w:t>
            </w:r>
            <w:r w:rsidRPr="00022F5B">
              <w:t xml:space="preserve">either </w:t>
            </w:r>
            <w:r>
              <w:t>S</w:t>
            </w:r>
            <w:r w:rsidRPr="00022F5B">
              <w:t>hallow (&lt;6m); M</w:t>
            </w:r>
            <w:r>
              <w:t>id</w:t>
            </w:r>
            <w:r w:rsidRPr="00022F5B">
              <w:t xml:space="preserve"> (6-18m); or D</w:t>
            </w:r>
            <w:r>
              <w:t>eep</w:t>
            </w:r>
            <w:r w:rsidRPr="00022F5B">
              <w:t xml:space="preserve"> (18-30m)</w:t>
            </w:r>
          </w:p>
        </w:tc>
      </w:tr>
      <w:tr w:rsidR="00C57890" w:rsidRPr="00022F5B" w14:paraId="57D05882" w14:textId="77777777" w:rsidTr="00C57890">
        <w:trPr>
          <w:divId w:val="1432697516"/>
        </w:trPr>
        <w:tc>
          <w:tcPr>
            <w:tcW w:w="2088" w:type="dxa"/>
          </w:tcPr>
          <w:p w14:paraId="473DD037" w14:textId="77777777" w:rsidR="00C57890" w:rsidRPr="00022F5B" w:rsidRDefault="00C57890" w:rsidP="003241D3">
            <w:r w:rsidRPr="00022F5B">
              <w:t>LATITUDE &amp; LONGITUDE</w:t>
            </w:r>
          </w:p>
        </w:tc>
        <w:tc>
          <w:tcPr>
            <w:tcW w:w="6768" w:type="dxa"/>
          </w:tcPr>
          <w:p w14:paraId="2969B84E" w14:textId="77777777" w:rsidR="00C57890" w:rsidRPr="00022F5B" w:rsidRDefault="00C57890" w:rsidP="003241D3">
            <w:proofErr w:type="spellStart"/>
            <w:r>
              <w:t>Lat</w:t>
            </w:r>
            <w:proofErr w:type="spellEnd"/>
            <w:r>
              <w:t xml:space="preserve"> &amp; Long of survey site, taken from the diving platform (small boat) above the divers.</w:t>
            </w:r>
          </w:p>
        </w:tc>
      </w:tr>
      <w:tr w:rsidR="00C57890" w:rsidRPr="00022F5B" w14:paraId="3794E453" w14:textId="77777777" w:rsidTr="00C57890">
        <w:trPr>
          <w:divId w:val="1432697516"/>
        </w:trPr>
        <w:tc>
          <w:tcPr>
            <w:tcW w:w="2088" w:type="dxa"/>
          </w:tcPr>
          <w:p w14:paraId="6EE05AB3" w14:textId="77777777" w:rsidR="00C57890" w:rsidRPr="00022F5B" w:rsidRDefault="00C57890" w:rsidP="003241D3">
            <w:r w:rsidRPr="00022F5B">
              <w:t>DEPTH (m)</w:t>
            </w:r>
          </w:p>
        </w:tc>
        <w:tc>
          <w:tcPr>
            <w:tcW w:w="6768" w:type="dxa"/>
          </w:tcPr>
          <w:p w14:paraId="30047F50" w14:textId="77777777" w:rsidR="00C57890" w:rsidRPr="00022F5B" w:rsidRDefault="00C57890" w:rsidP="003241D3">
            <w:r>
              <w:t>Mean site depth (in meters), recorded by divers during the survey.</w:t>
            </w:r>
          </w:p>
        </w:tc>
      </w:tr>
      <w:tr w:rsidR="00C57890" w:rsidRPr="00022F5B" w14:paraId="63246C80" w14:textId="77777777" w:rsidTr="00C57890">
        <w:trPr>
          <w:divId w:val="1432697516"/>
          <w:trHeight w:val="1447"/>
        </w:trPr>
        <w:tc>
          <w:tcPr>
            <w:tcW w:w="2088" w:type="dxa"/>
          </w:tcPr>
          <w:p w14:paraId="660809D5" w14:textId="77777777" w:rsidR="00C57890" w:rsidRPr="00022F5B" w:rsidRDefault="00C57890" w:rsidP="003241D3">
            <w:r w:rsidRPr="00022F5B">
              <w:t>HARD_CORAL</w:t>
            </w:r>
          </w:p>
          <w:p w14:paraId="5D6E2DBC" w14:textId="77777777" w:rsidR="00C57890" w:rsidRPr="00022F5B" w:rsidRDefault="00C57890" w:rsidP="003241D3">
            <w:r w:rsidRPr="00022F5B">
              <w:t>SOFT_CORAL</w:t>
            </w:r>
          </w:p>
          <w:p w14:paraId="66DD5AB7" w14:textId="77777777" w:rsidR="00C57890" w:rsidRPr="00022F5B" w:rsidRDefault="00C57890" w:rsidP="003241D3">
            <w:r w:rsidRPr="00022F5B">
              <w:t>MA</w:t>
            </w:r>
          </w:p>
          <w:p w14:paraId="54EDFB04" w14:textId="77777777" w:rsidR="00C57890" w:rsidRPr="00022F5B" w:rsidRDefault="00C57890" w:rsidP="003241D3">
            <w:r w:rsidRPr="00022F5B">
              <w:t>CCA</w:t>
            </w:r>
          </w:p>
          <w:p w14:paraId="48C3AECE" w14:textId="77777777" w:rsidR="00C57890" w:rsidRPr="00022F5B" w:rsidRDefault="00C57890" w:rsidP="003241D3">
            <w:r w:rsidRPr="00022F5B">
              <w:t>TA</w:t>
            </w:r>
          </w:p>
        </w:tc>
        <w:tc>
          <w:tcPr>
            <w:tcW w:w="6768" w:type="dxa"/>
          </w:tcPr>
          <w:p w14:paraId="1615F353" w14:textId="77777777" w:rsidR="00C57890" w:rsidRPr="00022F5B" w:rsidRDefault="00C57890" w:rsidP="003241D3">
            <w:r>
              <w:t xml:space="preserve">Benthic cover, visually estimated by divers during surveys. Categories are Hard Coral, Soft Coral, </w:t>
            </w:r>
            <w:proofErr w:type="spellStart"/>
            <w:r>
              <w:t>Macroalgae</w:t>
            </w:r>
            <w:proofErr w:type="spellEnd"/>
            <w:r>
              <w:t>, Crustose Coralline Algae, and Turf Algae</w:t>
            </w:r>
          </w:p>
        </w:tc>
      </w:tr>
      <w:tr w:rsidR="00C57890" w:rsidRPr="00022F5B" w14:paraId="27B005D5" w14:textId="77777777" w:rsidTr="00C57890">
        <w:trPr>
          <w:divId w:val="1432697516"/>
          <w:trHeight w:val="1155"/>
        </w:trPr>
        <w:tc>
          <w:tcPr>
            <w:tcW w:w="2088" w:type="dxa"/>
          </w:tcPr>
          <w:p w14:paraId="076350EE" w14:textId="77777777" w:rsidR="00C57890" w:rsidRPr="00022F5B" w:rsidRDefault="00C57890" w:rsidP="003241D3">
            <w:r w:rsidRPr="00022F5B">
              <w:t>PISCIVORE</w:t>
            </w:r>
          </w:p>
          <w:p w14:paraId="0824798E" w14:textId="77777777" w:rsidR="00C57890" w:rsidRPr="00022F5B" w:rsidRDefault="00C57890" w:rsidP="003241D3">
            <w:r w:rsidRPr="00022F5B">
              <w:t>PLANKTIVORE</w:t>
            </w:r>
          </w:p>
          <w:p w14:paraId="7A57EDD0" w14:textId="77777777" w:rsidR="00C57890" w:rsidRPr="00022F5B" w:rsidRDefault="00C57890" w:rsidP="003241D3">
            <w:r w:rsidRPr="00022F5B">
              <w:t>PRIMARY</w:t>
            </w:r>
          </w:p>
          <w:p w14:paraId="1A4B2B5E" w14:textId="77777777" w:rsidR="00C57890" w:rsidRPr="00022F5B" w:rsidRDefault="00C57890" w:rsidP="003241D3">
            <w:r w:rsidRPr="00022F5B">
              <w:t>SECONDARY</w:t>
            </w:r>
          </w:p>
        </w:tc>
        <w:tc>
          <w:tcPr>
            <w:tcW w:w="6768" w:type="dxa"/>
          </w:tcPr>
          <w:p w14:paraId="50CB70B7" w14:textId="77777777" w:rsidR="00C57890" w:rsidRPr="00022F5B" w:rsidRDefault="00C57890" w:rsidP="003241D3">
            <w:r>
              <w:t>Fish biomass (g/m</w:t>
            </w:r>
            <w:r w:rsidRPr="00022F5B">
              <w:rPr>
                <w:vertAlign w:val="superscript"/>
              </w:rPr>
              <w:t>2</w:t>
            </w:r>
            <w:r>
              <w:t xml:space="preserve">) by ‘consumer group’. PRIMARY are herbivores and detritivores; SECONDARY includes omnivores, and </w:t>
            </w:r>
            <w:proofErr w:type="spellStart"/>
            <w:r>
              <w:t>invertivores</w:t>
            </w:r>
            <w:proofErr w:type="spellEnd"/>
            <w:r>
              <w:t xml:space="preserve">; PISCIVORES are fishes that feed primarily on fishes. Consumer groups are </w:t>
            </w:r>
          </w:p>
        </w:tc>
      </w:tr>
      <w:tr w:rsidR="00C57890" w:rsidRPr="00022F5B" w14:paraId="1D57F52D" w14:textId="77777777" w:rsidTr="00C57890">
        <w:trPr>
          <w:divId w:val="1432697516"/>
        </w:trPr>
        <w:tc>
          <w:tcPr>
            <w:tcW w:w="2088" w:type="dxa"/>
          </w:tcPr>
          <w:p w14:paraId="26DC7EB1" w14:textId="77777777" w:rsidR="00C57890" w:rsidRPr="00022F5B" w:rsidRDefault="00C57890" w:rsidP="003241D3">
            <w:proofErr w:type="spellStart"/>
            <w:r w:rsidRPr="00022F5B">
              <w:t>TotFish</w:t>
            </w:r>
            <w:proofErr w:type="spellEnd"/>
          </w:p>
        </w:tc>
        <w:tc>
          <w:tcPr>
            <w:tcW w:w="6768" w:type="dxa"/>
          </w:tcPr>
          <w:p w14:paraId="73F51C9F" w14:textId="77777777" w:rsidR="00C57890" w:rsidRPr="00022F5B" w:rsidRDefault="00C57890" w:rsidP="003241D3">
            <w:r>
              <w:t>Total biomass (g/m</w:t>
            </w:r>
            <w:r w:rsidRPr="00022F5B">
              <w:rPr>
                <w:vertAlign w:val="superscript"/>
              </w:rPr>
              <w:t>2</w:t>
            </w:r>
            <w:r>
              <w:t>) of all fishes combined.</w:t>
            </w:r>
          </w:p>
        </w:tc>
      </w:tr>
    </w:tbl>
    <w:p w14:paraId="34849318" w14:textId="77777777" w:rsidR="00C57890" w:rsidRDefault="00C57890" w:rsidP="00DC7DEF">
      <w:pPr>
        <w:pStyle w:val="NormalWeb"/>
        <w:ind w:left="480" w:hanging="480"/>
        <w:divId w:val="1432697516"/>
      </w:pPr>
    </w:p>
    <w:sectPr w:rsidR="00C57890" w:rsidSect="00DC43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C926C" w14:textId="77777777" w:rsidR="007A2B6B" w:rsidRDefault="007A2B6B" w:rsidP="007A2B6B">
      <w:r>
        <w:separator/>
      </w:r>
    </w:p>
  </w:endnote>
  <w:endnote w:type="continuationSeparator" w:id="0">
    <w:p w14:paraId="63F8DCEF" w14:textId="77777777" w:rsidR="007A2B6B" w:rsidRDefault="007A2B6B" w:rsidP="007A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aco">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5000607B"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90E01" w14:textId="77777777" w:rsidR="007A2B6B" w:rsidRDefault="007A2B6B" w:rsidP="007A2B6B">
      <w:r>
        <w:separator/>
      </w:r>
    </w:p>
  </w:footnote>
  <w:footnote w:type="continuationSeparator" w:id="0">
    <w:p w14:paraId="4DDABCB3" w14:textId="77777777" w:rsidR="007A2B6B" w:rsidRDefault="007A2B6B" w:rsidP="007A2B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502C"/>
    <w:multiLevelType w:val="hybridMultilevel"/>
    <w:tmpl w:val="6DEEB850"/>
    <w:lvl w:ilvl="0" w:tplc="362E0CFC">
      <w:numFmt w:val="bullet"/>
      <w:lvlText w:val="-"/>
      <w:lvlJc w:val="left"/>
      <w:pPr>
        <w:ind w:left="720" w:hanging="360"/>
      </w:pPr>
      <w:rPr>
        <w:rFonts w:ascii="Monaco" w:eastAsiaTheme="minorEastAsia" w:hAnsi="Monaco" w:cs="Monac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BB"/>
    <w:rsid w:val="00022F5B"/>
    <w:rsid w:val="000305B4"/>
    <w:rsid w:val="000620AA"/>
    <w:rsid w:val="00082CC7"/>
    <w:rsid w:val="000D418A"/>
    <w:rsid w:val="00102B2F"/>
    <w:rsid w:val="0020270C"/>
    <w:rsid w:val="00255FF3"/>
    <w:rsid w:val="004A78DE"/>
    <w:rsid w:val="005436FF"/>
    <w:rsid w:val="00566F6A"/>
    <w:rsid w:val="005A7359"/>
    <w:rsid w:val="006A3250"/>
    <w:rsid w:val="006A7103"/>
    <w:rsid w:val="00700AD9"/>
    <w:rsid w:val="007A2B6B"/>
    <w:rsid w:val="007C2B87"/>
    <w:rsid w:val="007D3872"/>
    <w:rsid w:val="008349A1"/>
    <w:rsid w:val="008E19FD"/>
    <w:rsid w:val="0090591F"/>
    <w:rsid w:val="00925ABB"/>
    <w:rsid w:val="00950F76"/>
    <w:rsid w:val="009A5B40"/>
    <w:rsid w:val="009B53FB"/>
    <w:rsid w:val="009F5C55"/>
    <w:rsid w:val="00AB3136"/>
    <w:rsid w:val="00B01FAD"/>
    <w:rsid w:val="00B73905"/>
    <w:rsid w:val="00B76AAF"/>
    <w:rsid w:val="00BC446D"/>
    <w:rsid w:val="00C16D23"/>
    <w:rsid w:val="00C1700A"/>
    <w:rsid w:val="00C44FFE"/>
    <w:rsid w:val="00C57890"/>
    <w:rsid w:val="00C657A7"/>
    <w:rsid w:val="00C82AB8"/>
    <w:rsid w:val="00D57527"/>
    <w:rsid w:val="00DC4311"/>
    <w:rsid w:val="00DC7DEF"/>
    <w:rsid w:val="00E20DAE"/>
    <w:rsid w:val="00E549D8"/>
    <w:rsid w:val="00F50ED5"/>
    <w:rsid w:val="00F6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FA79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700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A2B6B"/>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2B6B"/>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250"/>
    <w:pPr>
      <w:ind w:left="720"/>
      <w:contextualSpacing/>
    </w:pPr>
  </w:style>
  <w:style w:type="character" w:customStyle="1" w:styleId="Heading2Char">
    <w:name w:val="Heading 2 Char"/>
    <w:basedOn w:val="DefaultParagraphFont"/>
    <w:link w:val="Heading2"/>
    <w:uiPriority w:val="9"/>
    <w:rsid w:val="007A2B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2B6B"/>
    <w:rPr>
      <w:rFonts w:asciiTheme="majorHAnsi" w:eastAsiaTheme="majorEastAsia" w:hAnsiTheme="majorHAnsi" w:cstheme="majorBidi"/>
      <w:b/>
      <w:bCs/>
      <w:color w:val="4F81BD" w:themeColor="accent1"/>
      <w:sz w:val="22"/>
      <w:szCs w:val="22"/>
    </w:rPr>
  </w:style>
  <w:style w:type="paragraph" w:styleId="NoSpacing">
    <w:name w:val="No Spacing"/>
    <w:uiPriority w:val="1"/>
    <w:qFormat/>
    <w:rsid w:val="007A2B6B"/>
    <w:rPr>
      <w:sz w:val="22"/>
      <w:szCs w:val="22"/>
    </w:rPr>
  </w:style>
  <w:style w:type="paragraph" w:styleId="Caption">
    <w:name w:val="caption"/>
    <w:basedOn w:val="Normal"/>
    <w:next w:val="Normal"/>
    <w:uiPriority w:val="35"/>
    <w:unhideWhenUsed/>
    <w:qFormat/>
    <w:rsid w:val="007A2B6B"/>
    <w:pPr>
      <w:spacing w:after="200"/>
    </w:pPr>
    <w:rPr>
      <w:b/>
      <w:bCs/>
      <w:color w:val="4F81BD" w:themeColor="accent1"/>
      <w:sz w:val="18"/>
      <w:szCs w:val="18"/>
    </w:rPr>
  </w:style>
  <w:style w:type="table" w:customStyle="1" w:styleId="LightShading1">
    <w:name w:val="Light Shading1"/>
    <w:basedOn w:val="TableNormal"/>
    <w:uiPriority w:val="60"/>
    <w:rsid w:val="007A2B6B"/>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A2B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B6B"/>
    <w:rPr>
      <w:rFonts w:ascii="Lucida Grande" w:hAnsi="Lucida Grande" w:cs="Lucida Grande"/>
      <w:sz w:val="18"/>
      <w:szCs w:val="18"/>
    </w:rPr>
  </w:style>
  <w:style w:type="paragraph" w:styleId="FootnoteText">
    <w:name w:val="footnote text"/>
    <w:basedOn w:val="Normal"/>
    <w:link w:val="FootnoteTextChar"/>
    <w:uiPriority w:val="99"/>
    <w:unhideWhenUsed/>
    <w:rsid w:val="007A2B6B"/>
    <w:rPr>
      <w:sz w:val="20"/>
      <w:szCs w:val="20"/>
    </w:rPr>
  </w:style>
  <w:style w:type="character" w:customStyle="1" w:styleId="FootnoteTextChar">
    <w:name w:val="Footnote Text Char"/>
    <w:basedOn w:val="DefaultParagraphFont"/>
    <w:link w:val="FootnoteText"/>
    <w:uiPriority w:val="99"/>
    <w:rsid w:val="007A2B6B"/>
    <w:rPr>
      <w:sz w:val="20"/>
      <w:szCs w:val="20"/>
    </w:rPr>
  </w:style>
  <w:style w:type="character" w:styleId="FootnoteReference">
    <w:name w:val="footnote reference"/>
    <w:basedOn w:val="DefaultParagraphFont"/>
    <w:uiPriority w:val="99"/>
    <w:semiHidden/>
    <w:unhideWhenUsed/>
    <w:rsid w:val="007A2B6B"/>
    <w:rPr>
      <w:vertAlign w:val="superscript"/>
    </w:rPr>
  </w:style>
  <w:style w:type="table" w:styleId="TableGrid">
    <w:name w:val="Table Grid"/>
    <w:basedOn w:val="TableNormal"/>
    <w:uiPriority w:val="59"/>
    <w:rsid w:val="007A2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170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700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1700A"/>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7D387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700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A2B6B"/>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2B6B"/>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250"/>
    <w:pPr>
      <w:ind w:left="720"/>
      <w:contextualSpacing/>
    </w:pPr>
  </w:style>
  <w:style w:type="character" w:customStyle="1" w:styleId="Heading2Char">
    <w:name w:val="Heading 2 Char"/>
    <w:basedOn w:val="DefaultParagraphFont"/>
    <w:link w:val="Heading2"/>
    <w:uiPriority w:val="9"/>
    <w:rsid w:val="007A2B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2B6B"/>
    <w:rPr>
      <w:rFonts w:asciiTheme="majorHAnsi" w:eastAsiaTheme="majorEastAsia" w:hAnsiTheme="majorHAnsi" w:cstheme="majorBidi"/>
      <w:b/>
      <w:bCs/>
      <w:color w:val="4F81BD" w:themeColor="accent1"/>
      <w:sz w:val="22"/>
      <w:szCs w:val="22"/>
    </w:rPr>
  </w:style>
  <w:style w:type="paragraph" w:styleId="NoSpacing">
    <w:name w:val="No Spacing"/>
    <w:uiPriority w:val="1"/>
    <w:qFormat/>
    <w:rsid w:val="007A2B6B"/>
    <w:rPr>
      <w:sz w:val="22"/>
      <w:szCs w:val="22"/>
    </w:rPr>
  </w:style>
  <w:style w:type="paragraph" w:styleId="Caption">
    <w:name w:val="caption"/>
    <w:basedOn w:val="Normal"/>
    <w:next w:val="Normal"/>
    <w:uiPriority w:val="35"/>
    <w:unhideWhenUsed/>
    <w:qFormat/>
    <w:rsid w:val="007A2B6B"/>
    <w:pPr>
      <w:spacing w:after="200"/>
    </w:pPr>
    <w:rPr>
      <w:b/>
      <w:bCs/>
      <w:color w:val="4F81BD" w:themeColor="accent1"/>
      <w:sz w:val="18"/>
      <w:szCs w:val="18"/>
    </w:rPr>
  </w:style>
  <w:style w:type="table" w:customStyle="1" w:styleId="LightShading1">
    <w:name w:val="Light Shading1"/>
    <w:basedOn w:val="TableNormal"/>
    <w:uiPriority w:val="60"/>
    <w:rsid w:val="007A2B6B"/>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A2B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B6B"/>
    <w:rPr>
      <w:rFonts w:ascii="Lucida Grande" w:hAnsi="Lucida Grande" w:cs="Lucida Grande"/>
      <w:sz w:val="18"/>
      <w:szCs w:val="18"/>
    </w:rPr>
  </w:style>
  <w:style w:type="paragraph" w:styleId="FootnoteText">
    <w:name w:val="footnote text"/>
    <w:basedOn w:val="Normal"/>
    <w:link w:val="FootnoteTextChar"/>
    <w:uiPriority w:val="99"/>
    <w:unhideWhenUsed/>
    <w:rsid w:val="007A2B6B"/>
    <w:rPr>
      <w:sz w:val="20"/>
      <w:szCs w:val="20"/>
    </w:rPr>
  </w:style>
  <w:style w:type="character" w:customStyle="1" w:styleId="FootnoteTextChar">
    <w:name w:val="Footnote Text Char"/>
    <w:basedOn w:val="DefaultParagraphFont"/>
    <w:link w:val="FootnoteText"/>
    <w:uiPriority w:val="99"/>
    <w:rsid w:val="007A2B6B"/>
    <w:rPr>
      <w:sz w:val="20"/>
      <w:szCs w:val="20"/>
    </w:rPr>
  </w:style>
  <w:style w:type="character" w:styleId="FootnoteReference">
    <w:name w:val="footnote reference"/>
    <w:basedOn w:val="DefaultParagraphFont"/>
    <w:uiPriority w:val="99"/>
    <w:semiHidden/>
    <w:unhideWhenUsed/>
    <w:rsid w:val="007A2B6B"/>
    <w:rPr>
      <w:vertAlign w:val="superscript"/>
    </w:rPr>
  </w:style>
  <w:style w:type="table" w:styleId="TableGrid">
    <w:name w:val="Table Grid"/>
    <w:basedOn w:val="TableNormal"/>
    <w:uiPriority w:val="59"/>
    <w:rsid w:val="007A2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170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700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1700A"/>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7D387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82682">
      <w:bodyDiv w:val="1"/>
      <w:marLeft w:val="0"/>
      <w:marRight w:val="0"/>
      <w:marTop w:val="0"/>
      <w:marBottom w:val="0"/>
      <w:divBdr>
        <w:top w:val="none" w:sz="0" w:space="0" w:color="auto"/>
        <w:left w:val="none" w:sz="0" w:space="0" w:color="auto"/>
        <w:bottom w:val="none" w:sz="0" w:space="0" w:color="auto"/>
        <w:right w:val="none" w:sz="0" w:space="0" w:color="auto"/>
      </w:divBdr>
    </w:div>
    <w:div w:id="1530921040">
      <w:bodyDiv w:val="1"/>
      <w:marLeft w:val="0"/>
      <w:marRight w:val="0"/>
      <w:marTop w:val="0"/>
      <w:marBottom w:val="0"/>
      <w:divBdr>
        <w:top w:val="none" w:sz="0" w:space="0" w:color="auto"/>
        <w:left w:val="none" w:sz="0" w:space="0" w:color="auto"/>
        <w:bottom w:val="none" w:sz="0" w:space="0" w:color="auto"/>
        <w:right w:val="none" w:sz="0" w:space="0" w:color="auto"/>
      </w:divBdr>
      <w:divsChild>
        <w:div w:id="1327174351">
          <w:marLeft w:val="0"/>
          <w:marRight w:val="0"/>
          <w:marTop w:val="0"/>
          <w:marBottom w:val="0"/>
          <w:divBdr>
            <w:top w:val="none" w:sz="0" w:space="0" w:color="auto"/>
            <w:left w:val="none" w:sz="0" w:space="0" w:color="auto"/>
            <w:bottom w:val="none" w:sz="0" w:space="0" w:color="auto"/>
            <w:right w:val="none" w:sz="0" w:space="0" w:color="auto"/>
          </w:divBdr>
          <w:divsChild>
            <w:div w:id="1432697516">
              <w:marLeft w:val="0"/>
              <w:marRight w:val="0"/>
              <w:marTop w:val="0"/>
              <w:marBottom w:val="0"/>
              <w:divBdr>
                <w:top w:val="none" w:sz="0" w:space="0" w:color="auto"/>
                <w:left w:val="none" w:sz="0" w:space="0" w:color="auto"/>
                <w:bottom w:val="none" w:sz="0" w:space="0" w:color="auto"/>
                <w:right w:val="none" w:sz="0" w:space="0" w:color="auto"/>
              </w:divBdr>
              <w:divsChild>
                <w:div w:id="2136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3529</Words>
  <Characters>20121</Characters>
  <Application>Microsoft Macintosh Word</Application>
  <DocSecurity>0</DocSecurity>
  <Lines>167</Lines>
  <Paragraphs>47</Paragraphs>
  <ScaleCrop>false</ScaleCrop>
  <Company>NOAA PPIFSC, Coral Reef Ecosysem Division</Company>
  <LinksUpToDate>false</LinksUpToDate>
  <CharactersWithSpaces>23603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Ivor Williams</dc:creator>
  <cp:keywords/>
  <dc:description/>
  <cp:lastModifiedBy>Ivor Williams</cp:lastModifiedBy>
  <cp:revision>10</cp:revision>
  <dcterms:created xsi:type="dcterms:W3CDTF">2015-03-19T20:36:00Z</dcterms:created>
  <dcterms:modified xsi:type="dcterms:W3CDTF">2015-03-19T21:11:00Z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ivor.williams@noaa.gov@www.mendeley.com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http://www.zotero.org/styles/plos-one</vt:lpwstr>
  </property>
  <property fmtid="{D5CDD505-2E9C-101B-9397-08002B2CF9AE}" pid="24" name="Mendeley Recent Style Name 9_1">
    <vt:lpwstr>PLOS ONE</vt:lpwstr>
  </property>
</Properties>
</file>